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pPr>
      <w:r>
        <w:drawing>
          <wp:anchor distT="0" distB="0" distL="114300" distR="114300" simplePos="0" relativeHeight="251659264" behindDoc="0" locked="0" layoutInCell="1" allowOverlap="1">
            <wp:simplePos x="0" y="0"/>
            <wp:positionH relativeFrom="column">
              <wp:posOffset>-952500</wp:posOffset>
            </wp:positionH>
            <wp:positionV relativeFrom="paragraph">
              <wp:posOffset>-951865</wp:posOffset>
            </wp:positionV>
            <wp:extent cx="7546975" cy="10667365"/>
            <wp:effectExtent l="0" t="0" r="9525" b="63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7546975" cy="10667365"/>
                    </a:xfrm>
                    <a:prstGeom prst="rect">
                      <a:avLst/>
                    </a:prstGeom>
                    <a:noFill/>
                    <a:ln>
                      <a:noFill/>
                    </a:ln>
                  </pic:spPr>
                </pic:pic>
              </a:graphicData>
            </a:graphic>
          </wp:anchor>
        </w:drawing>
      </w:r>
    </w:p>
    <w:p>
      <w:pPr>
        <w:pStyle w:val="11"/>
        <w:sectPr>
          <w:footerReference r:id="rId3" w:type="first"/>
          <w:pgSz w:w="11906" w:h="16838"/>
          <w:pgMar w:top="1531" w:right="1474" w:bottom="1418" w:left="1588" w:header="851" w:footer="992" w:gutter="0"/>
          <w:cols w:space="720" w:num="1"/>
          <w:docGrid w:linePitch="634" w:charSpace="17788"/>
        </w:sectPr>
      </w:pPr>
    </w:p>
    <w:p>
      <w:pPr>
        <w:pStyle w:val="12"/>
      </w:pPr>
      <w:r>
        <w:rPr>
          <w:rFonts w:hint="eastAsia"/>
        </w:rPr>
        <w:t>填写要求</w:t>
      </w:r>
    </w:p>
    <w:p>
      <w:pPr>
        <w:pStyle w:val="11"/>
      </w:pPr>
    </w:p>
    <w:p>
      <w:pPr>
        <w:pStyle w:val="14"/>
        <w:numPr>
          <w:ilvl w:val="0"/>
          <w:numId w:val="1"/>
        </w:numPr>
        <w:ind w:left="817" w:firstLineChars="0"/>
      </w:pPr>
      <w:r>
        <w:rPr>
          <w:rFonts w:hint="eastAsia"/>
        </w:rPr>
        <w:t>请对照项目申报指南认真填写，规定字数限制应在规定范围内填写。</w:t>
      </w:r>
    </w:p>
    <w:p>
      <w:pPr>
        <w:pStyle w:val="14"/>
        <w:numPr>
          <w:ilvl w:val="0"/>
          <w:numId w:val="1"/>
        </w:numPr>
        <w:ind w:left="817" w:firstLineChars="0"/>
      </w:pPr>
      <w:r>
        <w:rPr>
          <w:rFonts w:hint="eastAsia"/>
        </w:rPr>
        <w:t>申报内容应不包含涉密内容。</w:t>
      </w:r>
    </w:p>
    <w:p>
      <w:pPr>
        <w:pStyle w:val="14"/>
        <w:numPr>
          <w:ilvl w:val="0"/>
          <w:numId w:val="1"/>
        </w:numPr>
        <w:ind w:left="817" w:firstLineChars="0"/>
      </w:pPr>
      <w:r>
        <w:rPr>
          <w:rFonts w:hint="eastAsia"/>
        </w:rPr>
        <w:t>所有填报内容请按仿宋字体、四号字号、行间距</w:t>
      </w:r>
      <w:r>
        <w:t>18</w:t>
      </w:r>
      <w:r>
        <w:rPr>
          <w:rFonts w:hint="eastAsia"/>
        </w:rPr>
        <w:t>-</w:t>
      </w:r>
      <w:r>
        <w:t>20</w:t>
      </w:r>
      <w:r>
        <w:rPr>
          <w:rFonts w:hint="eastAsia"/>
        </w:rPr>
        <w:t>磅规范填写。</w:t>
      </w:r>
    </w:p>
    <w:p>
      <w:pPr>
        <w:pStyle w:val="14"/>
        <w:numPr>
          <w:ilvl w:val="0"/>
          <w:numId w:val="1"/>
        </w:numPr>
        <w:ind w:left="817" w:firstLineChars="0"/>
      </w:pPr>
      <w:r>
        <w:rPr>
          <w:rFonts w:hint="eastAsia"/>
        </w:rPr>
        <w:t>请不要改变申报表格样式，保持申报书整体整洁美观。</w:t>
      </w:r>
    </w:p>
    <w:p>
      <w:pPr>
        <w:pStyle w:val="14"/>
        <w:numPr>
          <w:ilvl w:val="0"/>
          <w:numId w:val="1"/>
        </w:numPr>
        <w:ind w:left="817" w:firstLineChars="0"/>
      </w:pPr>
      <w:r>
        <w:rPr>
          <w:rFonts w:hint="eastAsia"/>
        </w:rPr>
        <w:t>如涉及外文词语，第一次出现时用全称，第二次出现时可以使用简称。</w:t>
      </w:r>
    </w:p>
    <w:p>
      <w:pPr>
        <w:pStyle w:val="14"/>
        <w:numPr>
          <w:ilvl w:val="0"/>
          <w:numId w:val="1"/>
        </w:numPr>
        <w:ind w:left="817" w:firstLineChars="0"/>
      </w:pPr>
      <w:r>
        <w:rPr>
          <w:rFonts w:hint="eastAsia"/>
        </w:rPr>
        <w:t>所申报内容应承诺不存在知识产权侵权等问题，如发生知识产权侵权问题，一律后果由项目负责人及申报单位承担。</w:t>
      </w:r>
    </w:p>
    <w:p>
      <w:pPr>
        <w:pStyle w:val="11"/>
      </w:pPr>
    </w:p>
    <w:p>
      <w:pPr>
        <w:pStyle w:val="11"/>
      </w:pPr>
    </w:p>
    <w:p>
      <w:pPr>
        <w:pStyle w:val="11"/>
        <w:sectPr>
          <w:pgSz w:w="11906" w:h="16838"/>
          <w:pgMar w:top="2098" w:right="1474" w:bottom="1985" w:left="1588" w:header="851" w:footer="992" w:gutter="0"/>
          <w:cols w:space="720" w:num="1"/>
          <w:docGrid w:linePitch="634" w:charSpace="17788"/>
        </w:sectPr>
      </w:pPr>
    </w:p>
    <w:p>
      <w:pPr>
        <w:pStyle w:val="13"/>
        <w:ind w:firstLine="0" w:firstLineChars="0"/>
      </w:pPr>
      <w:r>
        <w:rPr>
          <w:rFonts w:hint="eastAsia"/>
        </w:rPr>
        <w:t>一、项目建设团队</w:t>
      </w:r>
    </w:p>
    <w:p>
      <w:pPr>
        <w:pStyle w:val="16"/>
        <w:ind w:firstLine="0" w:firstLineChars="0"/>
      </w:pPr>
      <w:r>
        <w:rPr>
          <w:rFonts w:hint="eastAsia"/>
        </w:rPr>
        <w:t>1</w:t>
      </w:r>
      <w:r>
        <w:t>.</w:t>
      </w:r>
      <w:r>
        <w:rPr>
          <w:rFonts w:hint="eastAsia"/>
        </w:rPr>
        <w:t>项目负责人情况</w:t>
      </w:r>
    </w:p>
    <w:tbl>
      <w:tblPr>
        <w:tblStyle w:val="7"/>
        <w:tblW w:w="9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516"/>
        <w:gridCol w:w="1464"/>
        <w:gridCol w:w="1454"/>
        <w:gridCol w:w="1465"/>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vAlign w:val="center"/>
          </w:tcPr>
          <w:p>
            <w:pPr>
              <w:pStyle w:val="15"/>
              <w:rPr>
                <w:b/>
              </w:rPr>
            </w:pPr>
            <w:r>
              <w:rPr>
                <w:rFonts w:hint="eastAsia"/>
                <w:b/>
              </w:rPr>
              <w:t>姓名</w:t>
            </w:r>
          </w:p>
        </w:tc>
        <w:tc>
          <w:tcPr>
            <w:tcW w:w="1516" w:type="dxa"/>
            <w:vAlign w:val="center"/>
          </w:tcPr>
          <w:p>
            <w:pPr>
              <w:pStyle w:val="15"/>
            </w:pPr>
            <w:r>
              <w:rPr>
                <w:rFonts w:hint="eastAsia"/>
              </w:rPr>
              <w:t>刘浩波</w:t>
            </w:r>
          </w:p>
        </w:tc>
        <w:tc>
          <w:tcPr>
            <w:tcW w:w="1464" w:type="dxa"/>
            <w:vAlign w:val="center"/>
          </w:tcPr>
          <w:p>
            <w:pPr>
              <w:pStyle w:val="15"/>
              <w:rPr>
                <w:b/>
              </w:rPr>
            </w:pPr>
            <w:r>
              <w:rPr>
                <w:rFonts w:hint="eastAsia"/>
                <w:b/>
              </w:rPr>
              <w:t>性别</w:t>
            </w:r>
          </w:p>
        </w:tc>
        <w:tc>
          <w:tcPr>
            <w:tcW w:w="1454" w:type="dxa"/>
            <w:vAlign w:val="center"/>
          </w:tcPr>
          <w:p>
            <w:pPr>
              <w:pStyle w:val="15"/>
            </w:pPr>
            <w:r>
              <w:rPr>
                <w:rFonts w:hint="eastAsia"/>
              </w:rPr>
              <w:t>男</w:t>
            </w:r>
          </w:p>
        </w:tc>
        <w:tc>
          <w:tcPr>
            <w:tcW w:w="1465" w:type="dxa"/>
            <w:vAlign w:val="center"/>
          </w:tcPr>
          <w:p>
            <w:pPr>
              <w:pStyle w:val="15"/>
              <w:rPr>
                <w:b/>
              </w:rPr>
            </w:pPr>
            <w:r>
              <w:rPr>
                <w:rFonts w:hint="eastAsia"/>
                <w:b/>
              </w:rPr>
              <w:t>出生年月</w:t>
            </w:r>
          </w:p>
        </w:tc>
        <w:tc>
          <w:tcPr>
            <w:tcW w:w="1454" w:type="dxa"/>
            <w:vAlign w:val="center"/>
          </w:tcPr>
          <w:p>
            <w:pPr>
              <w:pStyle w:val="15"/>
            </w:pPr>
            <w:r>
              <w:rPr>
                <w:rFonts w:hint="eastAsia"/>
              </w:rPr>
              <w:t>1995年1月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vAlign w:val="center"/>
          </w:tcPr>
          <w:p>
            <w:pPr>
              <w:pStyle w:val="15"/>
              <w:rPr>
                <w:b/>
              </w:rPr>
            </w:pPr>
            <w:r>
              <w:rPr>
                <w:rFonts w:hint="eastAsia"/>
                <w:b/>
              </w:rPr>
              <w:t>部门职务</w:t>
            </w:r>
          </w:p>
        </w:tc>
        <w:tc>
          <w:tcPr>
            <w:tcW w:w="4434" w:type="dxa"/>
            <w:gridSpan w:val="3"/>
            <w:vAlign w:val="center"/>
          </w:tcPr>
          <w:p>
            <w:pPr>
              <w:pStyle w:val="15"/>
            </w:pPr>
            <w:r>
              <w:rPr>
                <w:rFonts w:hint="eastAsia"/>
              </w:rPr>
              <w:t>机电专业部场室主管</w:t>
            </w:r>
          </w:p>
        </w:tc>
        <w:tc>
          <w:tcPr>
            <w:tcW w:w="1465" w:type="dxa"/>
            <w:vAlign w:val="center"/>
          </w:tcPr>
          <w:p>
            <w:pPr>
              <w:pStyle w:val="15"/>
              <w:rPr>
                <w:b/>
              </w:rPr>
            </w:pPr>
            <w:r>
              <w:rPr>
                <w:rFonts w:hint="eastAsia"/>
                <w:b/>
              </w:rPr>
              <w:t>专业技术职务</w:t>
            </w:r>
          </w:p>
        </w:tc>
        <w:tc>
          <w:tcPr>
            <w:tcW w:w="1454" w:type="dxa"/>
            <w:vAlign w:val="center"/>
          </w:tcPr>
          <w:p>
            <w:pPr>
              <w:pStyle w:val="15"/>
            </w:pPr>
            <w:r>
              <w:rPr>
                <w:rFonts w:hint="eastAsia"/>
              </w:rPr>
              <w:t>助理讲师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vAlign w:val="center"/>
          </w:tcPr>
          <w:p>
            <w:pPr>
              <w:pStyle w:val="15"/>
              <w:rPr>
                <w:b/>
              </w:rPr>
            </w:pPr>
            <w:r>
              <w:rPr>
                <w:rFonts w:hint="eastAsia"/>
                <w:b/>
              </w:rPr>
              <w:t>学历</w:t>
            </w:r>
          </w:p>
        </w:tc>
        <w:tc>
          <w:tcPr>
            <w:tcW w:w="1516" w:type="dxa"/>
            <w:vAlign w:val="center"/>
          </w:tcPr>
          <w:p>
            <w:pPr>
              <w:pStyle w:val="15"/>
            </w:pPr>
            <w:r>
              <w:rPr>
                <w:rFonts w:hint="eastAsia"/>
              </w:rPr>
              <w:t>本科</w:t>
            </w:r>
          </w:p>
        </w:tc>
        <w:tc>
          <w:tcPr>
            <w:tcW w:w="1464" w:type="dxa"/>
            <w:vAlign w:val="center"/>
          </w:tcPr>
          <w:p>
            <w:pPr>
              <w:pStyle w:val="15"/>
              <w:rPr>
                <w:b/>
              </w:rPr>
            </w:pPr>
            <w:r>
              <w:rPr>
                <w:rFonts w:hint="eastAsia"/>
                <w:b/>
              </w:rPr>
              <w:t>学位</w:t>
            </w:r>
          </w:p>
        </w:tc>
        <w:tc>
          <w:tcPr>
            <w:tcW w:w="1454" w:type="dxa"/>
            <w:vAlign w:val="center"/>
          </w:tcPr>
          <w:p>
            <w:pPr>
              <w:pStyle w:val="15"/>
            </w:pPr>
            <w:r>
              <w:rPr>
                <w:rFonts w:hint="eastAsia"/>
              </w:rPr>
              <w:t>工学学士</w:t>
            </w:r>
          </w:p>
        </w:tc>
        <w:tc>
          <w:tcPr>
            <w:tcW w:w="1465" w:type="dxa"/>
            <w:vAlign w:val="center"/>
          </w:tcPr>
          <w:p>
            <w:pPr>
              <w:pStyle w:val="15"/>
              <w:rPr>
                <w:b/>
              </w:rPr>
            </w:pPr>
            <w:r>
              <w:rPr>
                <w:rFonts w:hint="eastAsia"/>
                <w:b/>
              </w:rPr>
              <w:t>手机号码</w:t>
            </w:r>
          </w:p>
        </w:tc>
        <w:tc>
          <w:tcPr>
            <w:tcW w:w="1454" w:type="dxa"/>
            <w:vAlign w:val="center"/>
          </w:tcPr>
          <w:p>
            <w:pPr>
              <w:pStyle w:val="15"/>
            </w:pPr>
            <w:r>
              <w:rPr>
                <w:rFonts w:hint="eastAsia"/>
              </w:rPr>
              <w:t>18942460781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96" w:type="dxa"/>
            <w:vAlign w:val="center"/>
          </w:tcPr>
          <w:p>
            <w:pPr>
              <w:pStyle w:val="15"/>
              <w:rPr>
                <w:b/>
              </w:rPr>
            </w:pPr>
            <w:r>
              <w:rPr>
                <w:rFonts w:hint="eastAsia"/>
                <w:b/>
              </w:rPr>
              <w:t>通讯地址</w:t>
            </w:r>
            <w:r>
              <w:rPr>
                <w:b/>
              </w:rPr>
              <w:br w:type="textWrapping"/>
            </w:r>
            <w:r>
              <w:rPr>
                <w:rFonts w:hint="eastAsia"/>
                <w:b/>
              </w:rPr>
              <w:t>及邮编</w:t>
            </w:r>
          </w:p>
        </w:tc>
        <w:tc>
          <w:tcPr>
            <w:tcW w:w="7353" w:type="dxa"/>
            <w:gridSpan w:val="5"/>
            <w:vAlign w:val="center"/>
          </w:tcPr>
          <w:p>
            <w:pPr>
              <w:pStyle w:val="15"/>
              <w:jc w:val="both"/>
            </w:pPr>
            <w:r>
              <w:rPr>
                <w:rFonts w:hint="eastAsia"/>
              </w:rPr>
              <w:t>佛山市禅城区丝织路25号；528000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1" w:hRule="atLeast"/>
          <w:jc w:val="center"/>
        </w:trPr>
        <w:tc>
          <w:tcPr>
            <w:tcW w:w="1696" w:type="dxa"/>
            <w:vAlign w:val="center"/>
          </w:tcPr>
          <w:p>
            <w:pPr>
              <w:pStyle w:val="15"/>
              <w:rPr>
                <w:b/>
              </w:rPr>
            </w:pPr>
            <w:r>
              <w:rPr>
                <w:rFonts w:hint="eastAsia"/>
                <w:b/>
              </w:rPr>
              <w:t>工作简历</w:t>
            </w:r>
          </w:p>
          <w:p>
            <w:pPr>
              <w:pStyle w:val="15"/>
              <w:rPr>
                <w:b/>
              </w:rPr>
            </w:pPr>
            <w:r>
              <w:rPr>
                <w:rFonts w:hint="eastAsia"/>
                <w:b/>
              </w:rPr>
              <w:t>（重点填写与项目建设相关的经历）</w:t>
            </w:r>
          </w:p>
        </w:tc>
        <w:tc>
          <w:tcPr>
            <w:tcW w:w="7353" w:type="dxa"/>
            <w:gridSpan w:val="5"/>
            <w:vAlign w:val="center"/>
          </w:tcPr>
          <w:p>
            <w:pPr>
              <w:pStyle w:val="15"/>
              <w:numPr>
                <w:ilvl w:val="0"/>
                <w:numId w:val="2"/>
              </w:numPr>
              <w:jc w:val="both"/>
            </w:pPr>
            <w:r>
              <w:rPr>
                <w:rFonts w:hint="eastAsia"/>
              </w:rPr>
              <w:t>参与佛山市禅城区2021年度基础教育研究青年课题《“1+X”证书制度下中职工业机器人技术应用专业课证融合的改革与探索》；</w:t>
            </w:r>
          </w:p>
          <w:p>
            <w:pPr>
              <w:pStyle w:val="15"/>
              <w:numPr>
                <w:ilvl w:val="0"/>
                <w:numId w:val="2"/>
              </w:numPr>
              <w:jc w:val="both"/>
            </w:pPr>
            <w:r>
              <w:rPr>
                <w:rFonts w:hint="eastAsia"/>
              </w:rPr>
              <w:t>参与佛山市禅城区2021年度基础教育研究一般课题《工业机器人技术基础》课程数字资源建设与应用研究。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3" w:hRule="atLeast"/>
          <w:jc w:val="center"/>
        </w:trPr>
        <w:tc>
          <w:tcPr>
            <w:tcW w:w="1696" w:type="dxa"/>
            <w:vAlign w:val="center"/>
          </w:tcPr>
          <w:p>
            <w:pPr>
              <w:pStyle w:val="15"/>
              <w:rPr>
                <w:b/>
              </w:rPr>
            </w:pPr>
            <w:r>
              <w:rPr>
                <w:rFonts w:hint="eastAsia"/>
                <w:b/>
              </w:rPr>
              <w:t>主要学术、教研成果</w:t>
            </w:r>
          </w:p>
        </w:tc>
        <w:tc>
          <w:tcPr>
            <w:tcW w:w="7353" w:type="dxa"/>
            <w:gridSpan w:val="5"/>
            <w:vAlign w:val="center"/>
          </w:tcPr>
          <w:p>
            <w:pPr>
              <w:pStyle w:val="15"/>
              <w:numPr>
                <w:ilvl w:val="0"/>
                <w:numId w:val="3"/>
              </w:numPr>
              <w:jc w:val="both"/>
            </w:pPr>
            <w:r>
              <w:rPr>
                <w:rFonts w:hint="eastAsia"/>
              </w:rPr>
              <w:t>参加第四届广东省中小学青年教师教学能力大赛中等职业教育组装备制造小组决赛一等奖；</w:t>
            </w:r>
          </w:p>
          <w:p>
            <w:pPr>
              <w:pStyle w:val="15"/>
              <w:numPr>
                <w:ilvl w:val="0"/>
                <w:numId w:val="3"/>
              </w:numPr>
              <w:jc w:val="both"/>
            </w:pPr>
            <w:r>
              <w:rPr>
                <w:rFonts w:hint="eastAsia"/>
              </w:rPr>
              <w:t>参加2023年广东省教师教学能力比赛获得一等奖。</w:t>
            </w:r>
          </w:p>
        </w:tc>
      </w:tr>
    </w:tbl>
    <w:p>
      <w:pPr>
        <w:pStyle w:val="14"/>
        <w:spacing w:line="240" w:lineRule="exact"/>
        <w:ind w:firstLine="0" w:firstLineChars="0"/>
        <w:rPr>
          <w:sz w:val="13"/>
          <w:szCs w:val="13"/>
        </w:rPr>
      </w:pPr>
    </w:p>
    <w:p>
      <w:pPr>
        <w:pStyle w:val="17"/>
        <w:ind w:firstLine="0" w:firstLineChars="0"/>
      </w:pPr>
      <w:r>
        <w:t>2.</w:t>
      </w:r>
      <w:r>
        <w:rPr>
          <w:rFonts w:hint="eastAsia"/>
        </w:rPr>
        <w:t>项目团队成员情况</w:t>
      </w:r>
    </w:p>
    <w:tbl>
      <w:tblPr>
        <w:tblStyle w:val="7"/>
        <w:tblW w:w="10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510"/>
        <w:gridCol w:w="708"/>
        <w:gridCol w:w="1418"/>
        <w:gridCol w:w="2268"/>
        <w:gridCol w:w="1831"/>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65" w:type="dxa"/>
            <w:tcMar>
              <w:left w:w="0" w:type="dxa"/>
              <w:right w:w="0" w:type="dxa"/>
            </w:tcMar>
            <w:vAlign w:val="center"/>
          </w:tcPr>
          <w:p>
            <w:pPr>
              <w:pStyle w:val="15"/>
              <w:rPr>
                <w:b/>
              </w:rPr>
            </w:pPr>
            <w:r>
              <w:rPr>
                <w:rFonts w:hint="eastAsia"/>
                <w:b/>
              </w:rPr>
              <w:t>序号</w:t>
            </w:r>
          </w:p>
        </w:tc>
        <w:tc>
          <w:tcPr>
            <w:tcW w:w="1510" w:type="dxa"/>
            <w:vAlign w:val="center"/>
          </w:tcPr>
          <w:p>
            <w:pPr>
              <w:pStyle w:val="15"/>
              <w:rPr>
                <w:b/>
              </w:rPr>
            </w:pPr>
            <w:r>
              <w:rPr>
                <w:rFonts w:hint="eastAsia"/>
                <w:b/>
              </w:rPr>
              <w:t>姓名</w:t>
            </w:r>
          </w:p>
        </w:tc>
        <w:tc>
          <w:tcPr>
            <w:tcW w:w="708" w:type="dxa"/>
            <w:vAlign w:val="center"/>
          </w:tcPr>
          <w:p>
            <w:pPr>
              <w:pStyle w:val="15"/>
              <w:rPr>
                <w:b/>
              </w:rPr>
            </w:pPr>
            <w:r>
              <w:rPr>
                <w:rFonts w:hint="eastAsia"/>
                <w:b/>
              </w:rPr>
              <w:t>性别</w:t>
            </w:r>
          </w:p>
        </w:tc>
        <w:tc>
          <w:tcPr>
            <w:tcW w:w="1418" w:type="dxa"/>
            <w:vAlign w:val="center"/>
          </w:tcPr>
          <w:p>
            <w:pPr>
              <w:pStyle w:val="15"/>
              <w:rPr>
                <w:b/>
              </w:rPr>
            </w:pPr>
            <w:r>
              <w:rPr>
                <w:rFonts w:hint="eastAsia"/>
                <w:b/>
              </w:rPr>
              <w:t>出生年月</w:t>
            </w:r>
          </w:p>
        </w:tc>
        <w:tc>
          <w:tcPr>
            <w:tcW w:w="2268" w:type="dxa"/>
            <w:vAlign w:val="center"/>
          </w:tcPr>
          <w:p>
            <w:pPr>
              <w:pStyle w:val="15"/>
              <w:rPr>
                <w:b/>
              </w:rPr>
            </w:pPr>
            <w:r>
              <w:rPr>
                <w:rFonts w:hint="eastAsia"/>
                <w:b/>
              </w:rPr>
              <w:t>单位</w:t>
            </w:r>
          </w:p>
        </w:tc>
        <w:tc>
          <w:tcPr>
            <w:tcW w:w="1831" w:type="dxa"/>
            <w:vAlign w:val="center"/>
          </w:tcPr>
          <w:p>
            <w:pPr>
              <w:pStyle w:val="15"/>
              <w:rPr>
                <w:b/>
              </w:rPr>
            </w:pPr>
            <w:r>
              <w:rPr>
                <w:rFonts w:hint="eastAsia"/>
                <w:b/>
              </w:rPr>
              <w:t>职务</w:t>
            </w:r>
          </w:p>
        </w:tc>
        <w:tc>
          <w:tcPr>
            <w:tcW w:w="1641" w:type="dxa"/>
            <w:vAlign w:val="center"/>
          </w:tcPr>
          <w:p>
            <w:pPr>
              <w:pStyle w:val="15"/>
              <w:rPr>
                <w:b/>
              </w:rPr>
            </w:pPr>
            <w:r>
              <w:rPr>
                <w:rFonts w:hint="eastAsia"/>
                <w:b/>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65" w:type="dxa"/>
            <w:vAlign w:val="center"/>
          </w:tcPr>
          <w:p>
            <w:pPr>
              <w:pStyle w:val="15"/>
            </w:pPr>
            <w:r>
              <w:rPr>
                <w:rFonts w:hint="eastAsia"/>
              </w:rPr>
              <w:t>1</w:t>
            </w:r>
          </w:p>
        </w:tc>
        <w:tc>
          <w:tcPr>
            <w:tcW w:w="1510" w:type="dxa"/>
            <w:vAlign w:val="center"/>
          </w:tcPr>
          <w:p>
            <w:pPr>
              <w:pStyle w:val="15"/>
            </w:pPr>
            <w:r>
              <w:rPr>
                <w:rFonts w:hint="eastAsia" w:ascii="仿宋" w:hAnsi="仿宋"/>
              </w:rPr>
              <w:t>于</w:t>
            </w:r>
            <w:bookmarkStart w:id="0" w:name="_GoBack"/>
            <w:bookmarkEnd w:id="0"/>
            <w:r>
              <w:rPr>
                <w:rFonts w:hint="eastAsia" w:ascii="仿宋" w:hAnsi="仿宋"/>
              </w:rPr>
              <w:t>焕江</w:t>
            </w:r>
          </w:p>
        </w:tc>
        <w:tc>
          <w:tcPr>
            <w:tcW w:w="708" w:type="dxa"/>
            <w:vAlign w:val="center"/>
          </w:tcPr>
          <w:p>
            <w:pPr>
              <w:pStyle w:val="15"/>
            </w:pPr>
            <w:r>
              <w:rPr>
                <w:rFonts w:hint="eastAsia"/>
              </w:rPr>
              <w:t>男</w:t>
            </w:r>
          </w:p>
        </w:tc>
        <w:tc>
          <w:tcPr>
            <w:tcW w:w="1418" w:type="dxa"/>
            <w:vAlign w:val="center"/>
          </w:tcPr>
          <w:p>
            <w:pPr>
              <w:pStyle w:val="15"/>
            </w:pPr>
            <w:r>
              <w:t>1987</w:t>
            </w:r>
            <w:r>
              <w:rPr>
                <w:rFonts w:hint="eastAsia"/>
              </w:rPr>
              <w:t>.</w:t>
            </w:r>
            <w:r>
              <w:t>11</w:t>
            </w:r>
          </w:p>
        </w:tc>
        <w:tc>
          <w:tcPr>
            <w:tcW w:w="2268" w:type="dxa"/>
            <w:vAlign w:val="center"/>
          </w:tcPr>
          <w:p>
            <w:pPr>
              <w:pStyle w:val="15"/>
            </w:pPr>
            <w:r>
              <w:rPr>
                <w:rFonts w:hint="eastAsia"/>
              </w:rPr>
              <w:t>佛山市华材职业技术学校</w:t>
            </w:r>
          </w:p>
        </w:tc>
        <w:tc>
          <w:tcPr>
            <w:tcW w:w="1831" w:type="dxa"/>
            <w:vAlign w:val="center"/>
          </w:tcPr>
          <w:p>
            <w:pPr>
              <w:pStyle w:val="15"/>
            </w:pPr>
            <w:r>
              <w:rPr>
                <w:rFonts w:hint="eastAsia"/>
              </w:rPr>
              <w:t>科长</w:t>
            </w:r>
          </w:p>
        </w:tc>
        <w:tc>
          <w:tcPr>
            <w:tcW w:w="1641" w:type="dxa"/>
            <w:vAlign w:val="center"/>
          </w:tcPr>
          <w:p>
            <w:pPr>
              <w:pStyle w:val="15"/>
            </w:pPr>
            <w:r>
              <w:rPr>
                <w:rFonts w:hint="eastAsia"/>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65" w:type="dxa"/>
            <w:vAlign w:val="center"/>
          </w:tcPr>
          <w:p>
            <w:pPr>
              <w:pStyle w:val="15"/>
            </w:pPr>
            <w:r>
              <w:rPr>
                <w:rFonts w:hint="eastAsia"/>
              </w:rPr>
              <w:t>2</w:t>
            </w:r>
          </w:p>
        </w:tc>
        <w:tc>
          <w:tcPr>
            <w:tcW w:w="1510" w:type="dxa"/>
            <w:vAlign w:val="center"/>
          </w:tcPr>
          <w:p>
            <w:pPr>
              <w:pStyle w:val="15"/>
            </w:pPr>
            <w:r>
              <w:rPr>
                <w:rFonts w:hint="eastAsia"/>
              </w:rPr>
              <w:t>陈丽</w:t>
            </w:r>
          </w:p>
        </w:tc>
        <w:tc>
          <w:tcPr>
            <w:tcW w:w="708" w:type="dxa"/>
            <w:vAlign w:val="center"/>
          </w:tcPr>
          <w:p>
            <w:pPr>
              <w:pStyle w:val="15"/>
            </w:pPr>
            <w:r>
              <w:rPr>
                <w:rFonts w:hint="eastAsia"/>
              </w:rPr>
              <w:t>女</w:t>
            </w:r>
          </w:p>
        </w:tc>
        <w:tc>
          <w:tcPr>
            <w:tcW w:w="1418" w:type="dxa"/>
            <w:vAlign w:val="center"/>
          </w:tcPr>
          <w:p>
            <w:pPr>
              <w:pStyle w:val="15"/>
            </w:pPr>
            <w:r>
              <w:rPr>
                <w:rFonts w:hint="eastAsia"/>
              </w:rPr>
              <w:t>1995.08</w:t>
            </w:r>
          </w:p>
        </w:tc>
        <w:tc>
          <w:tcPr>
            <w:tcW w:w="2268" w:type="dxa"/>
            <w:vAlign w:val="center"/>
          </w:tcPr>
          <w:p>
            <w:pPr>
              <w:pStyle w:val="15"/>
            </w:pPr>
            <w:r>
              <w:rPr>
                <w:rFonts w:hint="eastAsia"/>
              </w:rPr>
              <w:t>佛山市华材职业技术学校</w:t>
            </w:r>
          </w:p>
        </w:tc>
        <w:tc>
          <w:tcPr>
            <w:tcW w:w="1831" w:type="dxa"/>
            <w:vAlign w:val="center"/>
          </w:tcPr>
          <w:p>
            <w:pPr>
              <w:pStyle w:val="15"/>
            </w:pPr>
            <w:r>
              <w:rPr>
                <w:rFonts w:hint="eastAsia"/>
              </w:rPr>
              <w:t>教师</w:t>
            </w:r>
          </w:p>
        </w:tc>
        <w:tc>
          <w:tcPr>
            <w:tcW w:w="1641" w:type="dxa"/>
            <w:vAlign w:val="center"/>
          </w:tcPr>
          <w:p>
            <w:pPr>
              <w:pStyle w:val="15"/>
            </w:pPr>
            <w:r>
              <w:rPr>
                <w:rFonts w:hint="eastAsia"/>
              </w:rPr>
              <w:t>助理讲师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65" w:type="dxa"/>
            <w:vAlign w:val="center"/>
          </w:tcPr>
          <w:p>
            <w:pPr>
              <w:pStyle w:val="15"/>
            </w:pPr>
            <w:r>
              <w:rPr>
                <w:rFonts w:hint="eastAsia"/>
              </w:rPr>
              <w:t>3</w:t>
            </w:r>
          </w:p>
        </w:tc>
        <w:tc>
          <w:tcPr>
            <w:tcW w:w="1510" w:type="dxa"/>
            <w:vAlign w:val="center"/>
          </w:tcPr>
          <w:p>
            <w:pPr>
              <w:pStyle w:val="15"/>
            </w:pPr>
            <w:r>
              <w:rPr>
                <w:rFonts w:hint="eastAsia" w:ascii="仿宋" w:hAnsi="仿宋"/>
              </w:rPr>
              <w:t>刘兴强</w:t>
            </w:r>
          </w:p>
        </w:tc>
        <w:tc>
          <w:tcPr>
            <w:tcW w:w="708" w:type="dxa"/>
            <w:vAlign w:val="center"/>
          </w:tcPr>
          <w:p>
            <w:pPr>
              <w:pStyle w:val="15"/>
            </w:pPr>
            <w:r>
              <w:rPr>
                <w:rFonts w:hint="eastAsia"/>
              </w:rPr>
              <w:t>男</w:t>
            </w:r>
          </w:p>
        </w:tc>
        <w:tc>
          <w:tcPr>
            <w:tcW w:w="1418" w:type="dxa"/>
            <w:vAlign w:val="center"/>
          </w:tcPr>
          <w:p>
            <w:pPr>
              <w:pStyle w:val="15"/>
            </w:pPr>
            <w:r>
              <w:rPr>
                <w:rFonts w:hint="eastAsia"/>
              </w:rPr>
              <w:t>1970.01</w:t>
            </w:r>
          </w:p>
        </w:tc>
        <w:tc>
          <w:tcPr>
            <w:tcW w:w="2268" w:type="dxa"/>
            <w:vAlign w:val="center"/>
          </w:tcPr>
          <w:p>
            <w:pPr>
              <w:pStyle w:val="15"/>
            </w:pPr>
            <w:r>
              <w:rPr>
                <w:rFonts w:hint="eastAsia"/>
              </w:rPr>
              <w:t>佛山市华材职业技术学校</w:t>
            </w:r>
          </w:p>
        </w:tc>
        <w:tc>
          <w:tcPr>
            <w:tcW w:w="1831" w:type="dxa"/>
            <w:vAlign w:val="center"/>
          </w:tcPr>
          <w:p>
            <w:pPr>
              <w:pStyle w:val="15"/>
            </w:pPr>
            <w:r>
              <w:rPr>
                <w:rFonts w:hint="eastAsia"/>
              </w:rPr>
              <w:t>教师</w:t>
            </w:r>
          </w:p>
        </w:tc>
        <w:tc>
          <w:tcPr>
            <w:tcW w:w="1641" w:type="dxa"/>
            <w:vAlign w:val="center"/>
          </w:tcPr>
          <w:p>
            <w:pPr>
              <w:pStyle w:val="15"/>
            </w:pPr>
            <w:r>
              <w:rPr>
                <w:rFonts w:hint="eastAsia"/>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65" w:type="dxa"/>
            <w:vAlign w:val="center"/>
          </w:tcPr>
          <w:p>
            <w:pPr>
              <w:pStyle w:val="15"/>
            </w:pPr>
            <w:r>
              <w:rPr>
                <w:rFonts w:hint="eastAsia"/>
              </w:rPr>
              <w:t>4</w:t>
            </w:r>
          </w:p>
        </w:tc>
        <w:tc>
          <w:tcPr>
            <w:tcW w:w="1510" w:type="dxa"/>
            <w:vAlign w:val="center"/>
          </w:tcPr>
          <w:p>
            <w:pPr>
              <w:pStyle w:val="15"/>
            </w:pPr>
            <w:r>
              <w:rPr>
                <w:rFonts w:hint="eastAsia" w:ascii="仿宋" w:hAnsi="仿宋"/>
              </w:rPr>
              <w:t>梁伟君</w:t>
            </w:r>
          </w:p>
        </w:tc>
        <w:tc>
          <w:tcPr>
            <w:tcW w:w="708" w:type="dxa"/>
            <w:vAlign w:val="center"/>
          </w:tcPr>
          <w:p>
            <w:pPr>
              <w:pStyle w:val="15"/>
            </w:pPr>
            <w:r>
              <w:rPr>
                <w:rFonts w:hint="eastAsia"/>
              </w:rPr>
              <w:t>女</w:t>
            </w:r>
          </w:p>
        </w:tc>
        <w:tc>
          <w:tcPr>
            <w:tcW w:w="1418" w:type="dxa"/>
            <w:vAlign w:val="center"/>
          </w:tcPr>
          <w:p>
            <w:pPr>
              <w:pStyle w:val="15"/>
            </w:pPr>
            <w:r>
              <w:rPr>
                <w:rFonts w:hint="eastAsia" w:ascii="仿宋" w:hAnsi="仿宋"/>
              </w:rPr>
              <w:t>1976.03</w:t>
            </w:r>
          </w:p>
        </w:tc>
        <w:tc>
          <w:tcPr>
            <w:tcW w:w="2268" w:type="dxa"/>
            <w:vAlign w:val="center"/>
          </w:tcPr>
          <w:p>
            <w:pPr>
              <w:pStyle w:val="15"/>
            </w:pPr>
            <w:r>
              <w:rPr>
                <w:rFonts w:hint="eastAsia"/>
              </w:rPr>
              <w:t>佛山市华材职业技术学校</w:t>
            </w:r>
          </w:p>
        </w:tc>
        <w:tc>
          <w:tcPr>
            <w:tcW w:w="1831" w:type="dxa"/>
            <w:vAlign w:val="center"/>
          </w:tcPr>
          <w:p>
            <w:pPr>
              <w:pStyle w:val="15"/>
            </w:pPr>
            <w:r>
              <w:rPr>
                <w:rFonts w:hint="eastAsia"/>
              </w:rPr>
              <w:t>教师</w:t>
            </w:r>
          </w:p>
        </w:tc>
        <w:tc>
          <w:tcPr>
            <w:tcW w:w="1641" w:type="dxa"/>
            <w:vAlign w:val="center"/>
          </w:tcPr>
          <w:p>
            <w:pPr>
              <w:pStyle w:val="15"/>
            </w:pPr>
            <w:r>
              <w:rPr>
                <w:rFonts w:hint="eastAsia"/>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65" w:type="dxa"/>
            <w:vAlign w:val="center"/>
          </w:tcPr>
          <w:p>
            <w:pPr>
              <w:pStyle w:val="15"/>
            </w:pPr>
            <w:r>
              <w:rPr>
                <w:rFonts w:hint="eastAsia"/>
              </w:rPr>
              <w:t>5</w:t>
            </w:r>
          </w:p>
        </w:tc>
        <w:tc>
          <w:tcPr>
            <w:tcW w:w="1510" w:type="dxa"/>
            <w:vAlign w:val="center"/>
          </w:tcPr>
          <w:p>
            <w:pPr>
              <w:pStyle w:val="15"/>
            </w:pPr>
            <w:r>
              <w:rPr>
                <w:rFonts w:hint="eastAsia" w:ascii="仿宋" w:hAnsi="仿宋"/>
              </w:rPr>
              <w:t>张媛媛</w:t>
            </w:r>
          </w:p>
        </w:tc>
        <w:tc>
          <w:tcPr>
            <w:tcW w:w="708" w:type="dxa"/>
            <w:vAlign w:val="center"/>
          </w:tcPr>
          <w:p>
            <w:pPr>
              <w:pStyle w:val="15"/>
            </w:pPr>
            <w:r>
              <w:rPr>
                <w:rFonts w:hint="eastAsia"/>
              </w:rPr>
              <w:t>女</w:t>
            </w:r>
          </w:p>
        </w:tc>
        <w:tc>
          <w:tcPr>
            <w:tcW w:w="1418" w:type="dxa"/>
            <w:vAlign w:val="center"/>
          </w:tcPr>
          <w:p>
            <w:pPr>
              <w:pStyle w:val="15"/>
            </w:pPr>
            <w:r>
              <w:rPr>
                <w:rFonts w:hint="eastAsia"/>
              </w:rPr>
              <w:t>1975.06</w:t>
            </w:r>
          </w:p>
        </w:tc>
        <w:tc>
          <w:tcPr>
            <w:tcW w:w="2268" w:type="dxa"/>
            <w:vAlign w:val="center"/>
          </w:tcPr>
          <w:p>
            <w:pPr>
              <w:pStyle w:val="15"/>
            </w:pPr>
            <w:r>
              <w:rPr>
                <w:rFonts w:hint="eastAsia"/>
              </w:rPr>
              <w:t>佛山市华材职业技术学校</w:t>
            </w:r>
          </w:p>
        </w:tc>
        <w:tc>
          <w:tcPr>
            <w:tcW w:w="1831" w:type="dxa"/>
            <w:vAlign w:val="center"/>
          </w:tcPr>
          <w:p>
            <w:pPr>
              <w:pStyle w:val="15"/>
            </w:pPr>
            <w:r>
              <w:rPr>
                <w:rFonts w:hint="eastAsia"/>
              </w:rPr>
              <w:t>教师</w:t>
            </w:r>
          </w:p>
        </w:tc>
        <w:tc>
          <w:tcPr>
            <w:tcW w:w="1641" w:type="dxa"/>
            <w:vAlign w:val="center"/>
          </w:tcPr>
          <w:p>
            <w:pPr>
              <w:pStyle w:val="15"/>
            </w:pPr>
            <w:r>
              <w:rPr>
                <w:rFonts w:hint="eastAsia"/>
              </w:rPr>
              <w:t>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65" w:type="dxa"/>
            <w:vAlign w:val="center"/>
          </w:tcPr>
          <w:p>
            <w:pPr>
              <w:pStyle w:val="15"/>
            </w:pPr>
            <w:r>
              <w:rPr>
                <w:rFonts w:hint="eastAsia"/>
              </w:rPr>
              <w:t>6</w:t>
            </w:r>
          </w:p>
        </w:tc>
        <w:tc>
          <w:tcPr>
            <w:tcW w:w="1510" w:type="dxa"/>
            <w:vAlign w:val="center"/>
          </w:tcPr>
          <w:p>
            <w:pPr>
              <w:pStyle w:val="15"/>
              <w:rPr>
                <w:rFonts w:ascii="仿宋" w:hAnsi="仿宋"/>
              </w:rPr>
            </w:pPr>
            <w:r>
              <w:rPr>
                <w:rFonts w:hint="eastAsia" w:ascii="仿宋" w:hAnsi="仿宋"/>
              </w:rPr>
              <w:t>杨颂华</w:t>
            </w:r>
          </w:p>
        </w:tc>
        <w:tc>
          <w:tcPr>
            <w:tcW w:w="708" w:type="dxa"/>
            <w:vAlign w:val="center"/>
          </w:tcPr>
          <w:p>
            <w:pPr>
              <w:pStyle w:val="15"/>
            </w:pPr>
            <w:r>
              <w:rPr>
                <w:rFonts w:hint="eastAsia"/>
              </w:rPr>
              <w:t>女</w:t>
            </w:r>
          </w:p>
        </w:tc>
        <w:tc>
          <w:tcPr>
            <w:tcW w:w="1418" w:type="dxa"/>
            <w:vAlign w:val="center"/>
          </w:tcPr>
          <w:p>
            <w:pPr>
              <w:pStyle w:val="15"/>
            </w:pPr>
            <w:r>
              <w:rPr>
                <w:rFonts w:hint="eastAsia"/>
              </w:rPr>
              <w:t>1980.08</w:t>
            </w:r>
          </w:p>
        </w:tc>
        <w:tc>
          <w:tcPr>
            <w:tcW w:w="2268" w:type="dxa"/>
            <w:vAlign w:val="center"/>
          </w:tcPr>
          <w:p>
            <w:pPr>
              <w:pStyle w:val="15"/>
            </w:pPr>
            <w:r>
              <w:rPr>
                <w:rFonts w:hint="eastAsia"/>
              </w:rPr>
              <w:t>佛山市华材职业技术学校</w:t>
            </w:r>
          </w:p>
        </w:tc>
        <w:tc>
          <w:tcPr>
            <w:tcW w:w="1831" w:type="dxa"/>
            <w:vAlign w:val="center"/>
          </w:tcPr>
          <w:p>
            <w:pPr>
              <w:pStyle w:val="15"/>
              <w:rPr>
                <w:rFonts w:hint="eastAsia"/>
              </w:rPr>
            </w:pPr>
            <w:r>
              <w:rPr>
                <w:rFonts w:hint="eastAsia"/>
              </w:rPr>
              <w:t>机电专业部主任</w:t>
            </w:r>
          </w:p>
        </w:tc>
        <w:tc>
          <w:tcPr>
            <w:tcW w:w="1641" w:type="dxa"/>
            <w:vAlign w:val="center"/>
          </w:tcPr>
          <w:p>
            <w:pPr>
              <w:pStyle w:val="15"/>
            </w:pPr>
            <w:r>
              <w:rPr>
                <w:rFonts w:hint="eastAsia"/>
              </w:rPr>
              <w:t>高级讲师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765" w:type="dxa"/>
            <w:vAlign w:val="center"/>
          </w:tcPr>
          <w:p>
            <w:pPr>
              <w:pStyle w:val="15"/>
            </w:pPr>
            <w:r>
              <w:rPr>
                <w:rFonts w:hint="eastAsia"/>
              </w:rPr>
              <w:t>7</w:t>
            </w:r>
          </w:p>
        </w:tc>
        <w:tc>
          <w:tcPr>
            <w:tcW w:w="1510" w:type="dxa"/>
            <w:vAlign w:val="center"/>
          </w:tcPr>
          <w:p>
            <w:pPr>
              <w:pStyle w:val="15"/>
            </w:pPr>
            <w:r>
              <w:rPr>
                <w:rFonts w:hint="eastAsia" w:ascii="仿宋" w:hAnsi="仿宋"/>
              </w:rPr>
              <w:t>龙江</w:t>
            </w:r>
          </w:p>
        </w:tc>
        <w:tc>
          <w:tcPr>
            <w:tcW w:w="708" w:type="dxa"/>
            <w:vAlign w:val="center"/>
          </w:tcPr>
          <w:p>
            <w:pPr>
              <w:pStyle w:val="15"/>
            </w:pPr>
            <w:r>
              <w:rPr>
                <w:rFonts w:hint="eastAsia"/>
              </w:rPr>
              <w:t>男</w:t>
            </w:r>
          </w:p>
        </w:tc>
        <w:tc>
          <w:tcPr>
            <w:tcW w:w="1418" w:type="dxa"/>
            <w:vAlign w:val="center"/>
          </w:tcPr>
          <w:p>
            <w:pPr>
              <w:pStyle w:val="15"/>
            </w:pPr>
            <w:r>
              <w:rPr>
                <w:rFonts w:hint="eastAsia"/>
              </w:rPr>
              <w:t>1997.10</w:t>
            </w:r>
          </w:p>
        </w:tc>
        <w:tc>
          <w:tcPr>
            <w:tcW w:w="2268" w:type="dxa"/>
            <w:vAlign w:val="center"/>
          </w:tcPr>
          <w:p>
            <w:pPr>
              <w:pStyle w:val="15"/>
            </w:pPr>
            <w:r>
              <w:rPr>
                <w:rFonts w:hint="eastAsia"/>
              </w:rPr>
              <w:t>佛山市华材职业技术学校</w:t>
            </w:r>
          </w:p>
        </w:tc>
        <w:tc>
          <w:tcPr>
            <w:tcW w:w="1831" w:type="dxa"/>
            <w:vAlign w:val="center"/>
          </w:tcPr>
          <w:p>
            <w:pPr>
              <w:pStyle w:val="15"/>
            </w:pPr>
            <w:r>
              <w:rPr>
                <w:rFonts w:hint="eastAsia"/>
              </w:rPr>
              <w:t>教师</w:t>
            </w:r>
          </w:p>
        </w:tc>
        <w:tc>
          <w:tcPr>
            <w:tcW w:w="1641" w:type="dxa"/>
            <w:vAlign w:val="center"/>
          </w:tcPr>
          <w:p>
            <w:pPr>
              <w:pStyle w:val="15"/>
            </w:pPr>
            <w:r>
              <w:rPr>
                <w:rFonts w:hint="eastAsia"/>
              </w:rPr>
              <w:t>助理讲师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65" w:type="dxa"/>
            <w:vAlign w:val="center"/>
          </w:tcPr>
          <w:p>
            <w:pPr>
              <w:pStyle w:val="15"/>
            </w:pPr>
            <w:r>
              <w:rPr>
                <w:rFonts w:hint="eastAsia"/>
              </w:rPr>
              <w:t>8</w:t>
            </w:r>
          </w:p>
        </w:tc>
        <w:tc>
          <w:tcPr>
            <w:tcW w:w="1510" w:type="dxa"/>
            <w:vAlign w:val="center"/>
          </w:tcPr>
          <w:p>
            <w:pPr>
              <w:pStyle w:val="15"/>
            </w:pPr>
            <w:r>
              <w:rPr>
                <w:rFonts w:hint="eastAsia"/>
              </w:rPr>
              <w:t>程伟坚</w:t>
            </w:r>
          </w:p>
        </w:tc>
        <w:tc>
          <w:tcPr>
            <w:tcW w:w="708" w:type="dxa"/>
            <w:vAlign w:val="center"/>
          </w:tcPr>
          <w:p>
            <w:pPr>
              <w:pStyle w:val="15"/>
            </w:pPr>
            <w:r>
              <w:rPr>
                <w:rFonts w:hint="eastAsia"/>
              </w:rPr>
              <w:t>男</w:t>
            </w:r>
          </w:p>
        </w:tc>
        <w:tc>
          <w:tcPr>
            <w:tcW w:w="1418" w:type="dxa"/>
            <w:vAlign w:val="center"/>
          </w:tcPr>
          <w:p>
            <w:pPr>
              <w:pStyle w:val="15"/>
            </w:pPr>
            <w:r>
              <w:rPr>
                <w:rFonts w:hint="eastAsia"/>
              </w:rPr>
              <w:t>1991.05</w:t>
            </w:r>
          </w:p>
        </w:tc>
        <w:tc>
          <w:tcPr>
            <w:tcW w:w="2268" w:type="dxa"/>
            <w:vAlign w:val="center"/>
          </w:tcPr>
          <w:p>
            <w:pPr>
              <w:pStyle w:val="15"/>
            </w:pPr>
            <w:r>
              <w:rPr>
                <w:rFonts w:hint="eastAsia"/>
              </w:rPr>
              <w:t>佛山市华材职业技术学校</w:t>
            </w:r>
          </w:p>
        </w:tc>
        <w:tc>
          <w:tcPr>
            <w:tcW w:w="1831" w:type="dxa"/>
            <w:vAlign w:val="center"/>
          </w:tcPr>
          <w:p>
            <w:pPr>
              <w:pStyle w:val="15"/>
            </w:pPr>
            <w:r>
              <w:rPr>
                <w:rFonts w:hint="eastAsia"/>
              </w:rPr>
              <w:t>教师</w:t>
            </w:r>
          </w:p>
        </w:tc>
        <w:tc>
          <w:tcPr>
            <w:tcW w:w="1641" w:type="dxa"/>
            <w:vAlign w:val="center"/>
          </w:tcPr>
          <w:p>
            <w:pPr>
              <w:pStyle w:val="15"/>
            </w:pPr>
            <w:r>
              <w:rPr>
                <w:rFonts w:hint="eastAsia"/>
              </w:rPr>
              <w:t>助理讲师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65" w:type="dxa"/>
            <w:vAlign w:val="center"/>
          </w:tcPr>
          <w:p>
            <w:pPr>
              <w:pStyle w:val="15"/>
            </w:pPr>
            <w:r>
              <w:rPr>
                <w:rFonts w:hint="eastAsia"/>
              </w:rPr>
              <w:t>9</w:t>
            </w:r>
          </w:p>
        </w:tc>
        <w:tc>
          <w:tcPr>
            <w:tcW w:w="1510" w:type="dxa"/>
            <w:vAlign w:val="center"/>
          </w:tcPr>
          <w:p>
            <w:pPr>
              <w:pStyle w:val="15"/>
            </w:pPr>
            <w:r>
              <w:rPr>
                <w:rFonts w:hint="eastAsia"/>
              </w:rPr>
              <w:t>冯小童</w:t>
            </w:r>
          </w:p>
        </w:tc>
        <w:tc>
          <w:tcPr>
            <w:tcW w:w="708" w:type="dxa"/>
            <w:vAlign w:val="center"/>
          </w:tcPr>
          <w:p>
            <w:pPr>
              <w:pStyle w:val="15"/>
            </w:pPr>
            <w:r>
              <w:rPr>
                <w:rFonts w:hint="eastAsia"/>
              </w:rPr>
              <w:t>男</w:t>
            </w:r>
          </w:p>
        </w:tc>
        <w:tc>
          <w:tcPr>
            <w:tcW w:w="1418" w:type="dxa"/>
            <w:vAlign w:val="center"/>
          </w:tcPr>
          <w:p>
            <w:pPr>
              <w:pStyle w:val="15"/>
            </w:pPr>
            <w:r>
              <w:rPr>
                <w:rFonts w:hint="eastAsia"/>
              </w:rPr>
              <w:t>1980.04</w:t>
            </w:r>
          </w:p>
        </w:tc>
        <w:tc>
          <w:tcPr>
            <w:tcW w:w="2268" w:type="dxa"/>
            <w:vAlign w:val="center"/>
          </w:tcPr>
          <w:p>
            <w:pPr>
              <w:pStyle w:val="15"/>
            </w:pPr>
            <w:r>
              <w:rPr>
                <w:rFonts w:hint="eastAsia"/>
              </w:rPr>
              <w:t>佛山华数机器人有限公司</w:t>
            </w:r>
          </w:p>
        </w:tc>
        <w:tc>
          <w:tcPr>
            <w:tcW w:w="1831" w:type="dxa"/>
            <w:vAlign w:val="center"/>
          </w:tcPr>
          <w:p>
            <w:pPr>
              <w:pStyle w:val="15"/>
            </w:pPr>
            <w:r>
              <w:rPr>
                <w:rFonts w:hint="eastAsia"/>
              </w:rPr>
              <w:t>技术副总</w:t>
            </w:r>
          </w:p>
        </w:tc>
        <w:tc>
          <w:tcPr>
            <w:tcW w:w="1641" w:type="dxa"/>
            <w:vAlign w:val="center"/>
          </w:tcPr>
          <w:p>
            <w:pPr>
              <w:pStyle w:val="15"/>
            </w:pPr>
            <w:r>
              <w:rPr>
                <w:rFonts w:hint="eastAsia"/>
              </w:rPr>
              <w:t>高级工程师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65" w:type="dxa"/>
            <w:vAlign w:val="center"/>
          </w:tcPr>
          <w:p>
            <w:pPr>
              <w:pStyle w:val="15"/>
            </w:pPr>
            <w:r>
              <w:rPr>
                <w:rFonts w:hint="eastAsia"/>
              </w:rPr>
              <w:t>10</w:t>
            </w:r>
          </w:p>
        </w:tc>
        <w:tc>
          <w:tcPr>
            <w:tcW w:w="1510" w:type="dxa"/>
            <w:vAlign w:val="center"/>
          </w:tcPr>
          <w:p>
            <w:pPr>
              <w:pStyle w:val="15"/>
            </w:pPr>
            <w:r>
              <w:rPr>
                <w:rFonts w:hint="eastAsia"/>
              </w:rPr>
              <w:t>张欢</w:t>
            </w:r>
          </w:p>
        </w:tc>
        <w:tc>
          <w:tcPr>
            <w:tcW w:w="708" w:type="dxa"/>
            <w:vAlign w:val="center"/>
          </w:tcPr>
          <w:p>
            <w:pPr>
              <w:pStyle w:val="15"/>
            </w:pPr>
            <w:r>
              <w:rPr>
                <w:rFonts w:hint="eastAsia"/>
              </w:rPr>
              <w:t>男</w:t>
            </w:r>
          </w:p>
        </w:tc>
        <w:tc>
          <w:tcPr>
            <w:tcW w:w="1418" w:type="dxa"/>
            <w:vAlign w:val="center"/>
          </w:tcPr>
          <w:p>
            <w:pPr>
              <w:pStyle w:val="15"/>
            </w:pPr>
            <w:r>
              <w:rPr>
                <w:rFonts w:hint="eastAsia"/>
              </w:rPr>
              <w:t>1983.10</w:t>
            </w:r>
          </w:p>
        </w:tc>
        <w:tc>
          <w:tcPr>
            <w:tcW w:w="2268" w:type="dxa"/>
            <w:vAlign w:val="center"/>
          </w:tcPr>
          <w:p>
            <w:pPr>
              <w:pStyle w:val="15"/>
            </w:pPr>
            <w:r>
              <w:rPr>
                <w:rFonts w:hint="eastAsia"/>
              </w:rPr>
              <w:t>佛山华数机器人有限公司</w:t>
            </w:r>
          </w:p>
        </w:tc>
        <w:tc>
          <w:tcPr>
            <w:tcW w:w="1831" w:type="dxa"/>
            <w:vAlign w:val="center"/>
          </w:tcPr>
          <w:p>
            <w:pPr>
              <w:pStyle w:val="15"/>
            </w:pPr>
            <w:r>
              <w:rPr>
                <w:rFonts w:hint="eastAsia"/>
              </w:rPr>
              <w:t>办公室主任</w:t>
            </w:r>
          </w:p>
        </w:tc>
        <w:tc>
          <w:tcPr>
            <w:tcW w:w="1641" w:type="dxa"/>
            <w:vAlign w:val="center"/>
          </w:tcPr>
          <w:p>
            <w:pPr>
              <w:pStyle w:val="15"/>
            </w:pPr>
            <w:r>
              <w:rPr>
                <w:rFonts w:hint="eastAsia"/>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65" w:type="dxa"/>
            <w:vAlign w:val="center"/>
          </w:tcPr>
          <w:p>
            <w:pPr>
              <w:pStyle w:val="15"/>
            </w:pPr>
            <w:r>
              <w:rPr>
                <w:rFonts w:hint="eastAsia"/>
              </w:rPr>
              <w:t>11</w:t>
            </w:r>
          </w:p>
        </w:tc>
        <w:tc>
          <w:tcPr>
            <w:tcW w:w="1510" w:type="dxa"/>
            <w:vAlign w:val="center"/>
          </w:tcPr>
          <w:p>
            <w:pPr>
              <w:pStyle w:val="15"/>
            </w:pPr>
            <w:r>
              <w:rPr>
                <w:rFonts w:hint="eastAsia"/>
              </w:rPr>
              <w:t>杨冲</w:t>
            </w:r>
          </w:p>
        </w:tc>
        <w:tc>
          <w:tcPr>
            <w:tcW w:w="708" w:type="dxa"/>
            <w:vAlign w:val="center"/>
          </w:tcPr>
          <w:p>
            <w:pPr>
              <w:pStyle w:val="15"/>
            </w:pPr>
            <w:r>
              <w:rPr>
                <w:rFonts w:hint="eastAsia"/>
              </w:rPr>
              <w:t>男</w:t>
            </w:r>
          </w:p>
        </w:tc>
        <w:tc>
          <w:tcPr>
            <w:tcW w:w="1418" w:type="dxa"/>
            <w:vAlign w:val="center"/>
          </w:tcPr>
          <w:p>
            <w:pPr>
              <w:pStyle w:val="15"/>
            </w:pPr>
            <w:r>
              <w:rPr>
                <w:rFonts w:hint="eastAsia"/>
              </w:rPr>
              <w:t>1988.11</w:t>
            </w:r>
          </w:p>
        </w:tc>
        <w:tc>
          <w:tcPr>
            <w:tcW w:w="2268" w:type="dxa"/>
            <w:vAlign w:val="center"/>
          </w:tcPr>
          <w:p>
            <w:pPr>
              <w:pStyle w:val="15"/>
            </w:pPr>
            <w:r>
              <w:rPr>
                <w:rFonts w:hint="eastAsia"/>
              </w:rPr>
              <w:t>佛山华数机器人有限公司</w:t>
            </w:r>
          </w:p>
        </w:tc>
        <w:tc>
          <w:tcPr>
            <w:tcW w:w="1831" w:type="dxa"/>
            <w:vAlign w:val="center"/>
          </w:tcPr>
          <w:p>
            <w:pPr>
              <w:pStyle w:val="15"/>
            </w:pPr>
            <w:r>
              <w:rPr>
                <w:rFonts w:hint="eastAsia"/>
              </w:rPr>
              <w:t>部门经理</w:t>
            </w:r>
          </w:p>
        </w:tc>
        <w:tc>
          <w:tcPr>
            <w:tcW w:w="1641" w:type="dxa"/>
            <w:vAlign w:val="center"/>
          </w:tcPr>
          <w:p>
            <w:pPr>
              <w:pStyle w:val="15"/>
            </w:pPr>
            <w:r>
              <w:rPr>
                <w:rFonts w:hint="eastAsia"/>
              </w:rPr>
              <w:t>工程师</w:t>
            </w:r>
          </w:p>
        </w:tc>
      </w:tr>
    </w:tbl>
    <w:p>
      <w:pPr>
        <w:pStyle w:val="17"/>
        <w:ind w:firstLine="0" w:firstLineChars="0"/>
      </w:pPr>
      <w:r>
        <w:br w:type="column"/>
      </w:r>
      <w:r>
        <w:t>3.</w:t>
      </w:r>
      <w:r>
        <w:rPr>
          <w:rFonts w:hint="eastAsia"/>
        </w:rPr>
        <w:t>项目团队分工及特色</w:t>
      </w:r>
    </w:p>
    <w:tbl>
      <w:tblPr>
        <w:tblStyle w:val="7"/>
        <w:tblW w:w="10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5" w:hRule="atLeast"/>
          <w:jc w:val="center"/>
        </w:trPr>
        <w:tc>
          <w:tcPr>
            <w:tcW w:w="10086" w:type="dxa"/>
          </w:tcPr>
          <w:p>
            <w:pPr>
              <w:spacing w:line="320" w:lineRule="exact"/>
              <w:ind w:firstLine="560" w:firstLineChars="200"/>
              <w:outlineLvl w:val="1"/>
              <w:rPr>
                <w:rFonts w:ascii="仿宋" w:hAnsi="仿宋" w:eastAsia="仿宋" w:cs="仿宋"/>
                <w:sz w:val="28"/>
                <w:szCs w:val="28"/>
              </w:rPr>
            </w:pPr>
          </w:p>
          <w:tbl>
            <w:tblPr>
              <w:tblStyle w:val="7"/>
              <w:tblW w:w="9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516"/>
              <w:gridCol w:w="1671"/>
              <w:gridCol w:w="5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tcPr>
                <w:p>
                  <w:pPr>
                    <w:pStyle w:val="15"/>
                    <w:spacing w:line="360" w:lineRule="exact"/>
                  </w:pPr>
                  <w:r>
                    <w:rPr>
                      <w:rFonts w:hint="eastAsia"/>
                    </w:rPr>
                    <w:t>序号</w:t>
                  </w:r>
                </w:p>
              </w:tc>
              <w:tc>
                <w:tcPr>
                  <w:tcW w:w="1516" w:type="dxa"/>
                </w:tcPr>
                <w:p>
                  <w:pPr>
                    <w:pStyle w:val="15"/>
                    <w:spacing w:line="360" w:lineRule="exact"/>
                  </w:pPr>
                  <w:r>
                    <w:rPr>
                      <w:rFonts w:hint="eastAsia"/>
                    </w:rPr>
                    <w:t>成员</w:t>
                  </w:r>
                </w:p>
              </w:tc>
              <w:tc>
                <w:tcPr>
                  <w:tcW w:w="1671" w:type="dxa"/>
                </w:tcPr>
                <w:p>
                  <w:pPr>
                    <w:pStyle w:val="15"/>
                    <w:spacing w:line="360" w:lineRule="exact"/>
                  </w:pPr>
                  <w:r>
                    <w:rPr>
                      <w:rFonts w:hint="eastAsia"/>
                    </w:rPr>
                    <w:t>分工</w:t>
                  </w:r>
                </w:p>
              </w:tc>
              <w:tc>
                <w:tcPr>
                  <w:tcW w:w="5802" w:type="dxa"/>
                </w:tcPr>
                <w:p>
                  <w:pPr>
                    <w:pStyle w:val="15"/>
                    <w:spacing w:line="360" w:lineRule="exact"/>
                  </w:pPr>
                  <w:r>
                    <w:rPr>
                      <w:rFonts w:hint="eastAsia"/>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pStyle w:val="15"/>
                    <w:spacing w:line="360" w:lineRule="exact"/>
                  </w:pPr>
                  <w:r>
                    <w:rPr>
                      <w:rFonts w:hint="eastAsia"/>
                    </w:rPr>
                    <w:t>1</w:t>
                  </w:r>
                </w:p>
              </w:tc>
              <w:tc>
                <w:tcPr>
                  <w:tcW w:w="1516" w:type="dxa"/>
                  <w:vAlign w:val="center"/>
                </w:tcPr>
                <w:p>
                  <w:pPr>
                    <w:pStyle w:val="15"/>
                    <w:spacing w:line="360" w:lineRule="exact"/>
                  </w:pPr>
                  <w:r>
                    <w:rPr>
                      <w:rFonts w:hint="eastAsia"/>
                    </w:rPr>
                    <w:t>刘浩波</w:t>
                  </w:r>
                </w:p>
              </w:tc>
              <w:tc>
                <w:tcPr>
                  <w:tcW w:w="1671" w:type="dxa"/>
                  <w:vAlign w:val="center"/>
                </w:tcPr>
                <w:p>
                  <w:pPr>
                    <w:pStyle w:val="15"/>
                    <w:spacing w:line="360" w:lineRule="exact"/>
                  </w:pPr>
                  <w:r>
                    <w:rPr>
                      <w:rFonts w:hint="eastAsia"/>
                    </w:rPr>
                    <w:t>项目负责人</w:t>
                  </w:r>
                </w:p>
              </w:tc>
              <w:tc>
                <w:tcPr>
                  <w:tcW w:w="5802" w:type="dxa"/>
                </w:tcPr>
                <w:p>
                  <w:pPr>
                    <w:pStyle w:val="15"/>
                    <w:spacing w:line="360" w:lineRule="exact"/>
                    <w:jc w:val="left"/>
                  </w:pPr>
                  <w:r>
                    <w:rPr>
                      <w:rFonts w:hint="eastAsia"/>
                    </w:rPr>
                    <w:t>全面统筹课程建设的前期调研、</w:t>
                  </w:r>
                  <w:r>
                    <w:t>项目整体规划、组织协调和决策管理。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pStyle w:val="15"/>
                    <w:spacing w:line="360" w:lineRule="exact"/>
                  </w:pPr>
                  <w:r>
                    <w:rPr>
                      <w:rFonts w:hint="eastAsia"/>
                    </w:rPr>
                    <w:t>2</w:t>
                  </w:r>
                </w:p>
              </w:tc>
              <w:tc>
                <w:tcPr>
                  <w:tcW w:w="1516" w:type="dxa"/>
                  <w:vAlign w:val="center"/>
                </w:tcPr>
                <w:p>
                  <w:pPr>
                    <w:pStyle w:val="15"/>
                    <w:spacing w:line="360" w:lineRule="exact"/>
                    <w:rPr>
                      <w:rFonts w:ascii="仿宋" w:hAnsi="仿宋"/>
                    </w:rPr>
                  </w:pPr>
                  <w:r>
                    <w:rPr>
                      <w:rFonts w:hint="eastAsia" w:ascii="仿宋" w:hAnsi="仿宋"/>
                    </w:rPr>
                    <w:t>于焕江</w:t>
                  </w:r>
                </w:p>
                <w:p>
                  <w:pPr>
                    <w:pStyle w:val="15"/>
                    <w:spacing w:line="360" w:lineRule="exact"/>
                    <w:rPr>
                      <w:rFonts w:ascii="仿宋" w:hAnsi="仿宋"/>
                    </w:rPr>
                  </w:pPr>
                  <w:r>
                    <w:rPr>
                      <w:rFonts w:hint="eastAsia" w:ascii="仿宋" w:hAnsi="仿宋"/>
                    </w:rPr>
                    <w:t>陈丽</w:t>
                  </w:r>
                </w:p>
              </w:tc>
              <w:tc>
                <w:tcPr>
                  <w:tcW w:w="1671" w:type="dxa"/>
                  <w:vAlign w:val="center"/>
                </w:tcPr>
                <w:p>
                  <w:pPr>
                    <w:pStyle w:val="15"/>
                    <w:spacing w:line="360" w:lineRule="exact"/>
                  </w:pPr>
                  <w:r>
                    <w:rPr>
                      <w:rFonts w:hint="eastAsia"/>
                    </w:rPr>
                    <w:t>资源整理</w:t>
                  </w:r>
                </w:p>
                <w:p>
                  <w:pPr>
                    <w:pStyle w:val="15"/>
                    <w:spacing w:line="360" w:lineRule="exact"/>
                  </w:pPr>
                  <w:r>
                    <w:rPr>
                      <w:rFonts w:hint="eastAsia"/>
                    </w:rPr>
                    <w:t>课程评价</w:t>
                  </w:r>
                </w:p>
              </w:tc>
              <w:tc>
                <w:tcPr>
                  <w:tcW w:w="5802" w:type="dxa"/>
                </w:tcPr>
                <w:p>
                  <w:pPr>
                    <w:pStyle w:val="15"/>
                    <w:spacing w:line="360" w:lineRule="exact"/>
                    <w:jc w:val="left"/>
                  </w:pPr>
                  <w:r>
                    <w:rPr>
                      <w:rFonts w:hint="eastAsia"/>
                    </w:rPr>
                    <w:t>建设、管理数字化教学资源库；组织进行课堂教学智慧评价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pStyle w:val="15"/>
                    <w:spacing w:line="360" w:lineRule="exact"/>
                  </w:pPr>
                  <w:r>
                    <w:rPr>
                      <w:rFonts w:hint="eastAsia"/>
                    </w:rPr>
                    <w:t>4</w:t>
                  </w:r>
                </w:p>
              </w:tc>
              <w:tc>
                <w:tcPr>
                  <w:tcW w:w="1516" w:type="dxa"/>
                  <w:vAlign w:val="center"/>
                </w:tcPr>
                <w:p>
                  <w:pPr>
                    <w:pStyle w:val="15"/>
                    <w:spacing w:line="360" w:lineRule="exact"/>
                  </w:pPr>
                  <w:r>
                    <w:rPr>
                      <w:rFonts w:hint="eastAsia" w:ascii="仿宋" w:hAnsi="仿宋"/>
                    </w:rPr>
                    <w:t>刘兴强</w:t>
                  </w:r>
                </w:p>
              </w:tc>
              <w:tc>
                <w:tcPr>
                  <w:tcW w:w="1671" w:type="dxa"/>
                  <w:vAlign w:val="center"/>
                </w:tcPr>
                <w:p>
                  <w:pPr>
                    <w:pStyle w:val="15"/>
                    <w:spacing w:line="360" w:lineRule="exact"/>
                  </w:pPr>
                  <w:r>
                    <w:rPr>
                      <w:rFonts w:hint="eastAsia"/>
                    </w:rPr>
                    <w:t>专业课教师</w:t>
                  </w:r>
                </w:p>
              </w:tc>
              <w:tc>
                <w:tcPr>
                  <w:tcW w:w="5802" w:type="dxa"/>
                </w:tcPr>
                <w:p>
                  <w:pPr>
                    <w:pStyle w:val="15"/>
                    <w:spacing w:line="360" w:lineRule="exact"/>
                    <w:jc w:val="left"/>
                  </w:pPr>
                  <w:r>
                    <w:rPr>
                      <w:rFonts w:hint="eastAsia"/>
                    </w:rPr>
                    <w:t>电力拖动课程建设的前期调研、结构设计、数字资源开发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pStyle w:val="15"/>
                    <w:spacing w:line="360" w:lineRule="exact"/>
                  </w:pPr>
                  <w:r>
                    <w:rPr>
                      <w:rFonts w:hint="eastAsia"/>
                    </w:rPr>
                    <w:t>5</w:t>
                  </w:r>
                </w:p>
              </w:tc>
              <w:tc>
                <w:tcPr>
                  <w:tcW w:w="1516" w:type="dxa"/>
                  <w:vAlign w:val="center"/>
                </w:tcPr>
                <w:p>
                  <w:pPr>
                    <w:pStyle w:val="15"/>
                    <w:spacing w:line="360" w:lineRule="exact"/>
                  </w:pPr>
                  <w:r>
                    <w:rPr>
                      <w:rFonts w:hint="eastAsia" w:ascii="仿宋" w:hAnsi="仿宋"/>
                    </w:rPr>
                    <w:t>梁伟君</w:t>
                  </w:r>
                </w:p>
              </w:tc>
              <w:tc>
                <w:tcPr>
                  <w:tcW w:w="1671" w:type="dxa"/>
                  <w:vAlign w:val="center"/>
                </w:tcPr>
                <w:p>
                  <w:pPr>
                    <w:pStyle w:val="15"/>
                    <w:spacing w:line="360" w:lineRule="exact"/>
                  </w:pPr>
                  <w:r>
                    <w:rPr>
                      <w:rFonts w:hint="eastAsia"/>
                    </w:rPr>
                    <w:t>专业课教师</w:t>
                  </w:r>
                </w:p>
              </w:tc>
              <w:tc>
                <w:tcPr>
                  <w:tcW w:w="5802" w:type="dxa"/>
                </w:tcPr>
                <w:p>
                  <w:pPr>
                    <w:pStyle w:val="15"/>
                    <w:spacing w:line="360" w:lineRule="exact"/>
                    <w:jc w:val="left"/>
                  </w:pPr>
                  <w:r>
                    <w:rPr>
                      <w:rFonts w:hint="eastAsia"/>
                    </w:rPr>
                    <w:t>电子技术课程建设的前期调研、结构设计、数字资源开发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pStyle w:val="15"/>
                    <w:spacing w:line="360" w:lineRule="exact"/>
                  </w:pPr>
                  <w:r>
                    <w:rPr>
                      <w:rFonts w:hint="eastAsia"/>
                    </w:rPr>
                    <w:t>6</w:t>
                  </w:r>
                </w:p>
              </w:tc>
              <w:tc>
                <w:tcPr>
                  <w:tcW w:w="1516" w:type="dxa"/>
                  <w:vAlign w:val="center"/>
                </w:tcPr>
                <w:p>
                  <w:pPr>
                    <w:pStyle w:val="15"/>
                    <w:spacing w:line="360" w:lineRule="exact"/>
                  </w:pPr>
                  <w:r>
                    <w:rPr>
                      <w:rFonts w:hint="eastAsia" w:ascii="仿宋" w:hAnsi="仿宋"/>
                    </w:rPr>
                    <w:t>张媛媛</w:t>
                  </w:r>
                </w:p>
              </w:tc>
              <w:tc>
                <w:tcPr>
                  <w:tcW w:w="1671" w:type="dxa"/>
                  <w:vAlign w:val="center"/>
                </w:tcPr>
                <w:p>
                  <w:pPr>
                    <w:pStyle w:val="15"/>
                    <w:spacing w:line="360" w:lineRule="exact"/>
                  </w:pPr>
                  <w:r>
                    <w:rPr>
                      <w:rFonts w:hint="eastAsia"/>
                    </w:rPr>
                    <w:t>思政资源开发</w:t>
                  </w:r>
                </w:p>
              </w:tc>
              <w:tc>
                <w:tcPr>
                  <w:tcW w:w="5802" w:type="dxa"/>
                </w:tcPr>
                <w:p>
                  <w:pPr>
                    <w:pStyle w:val="15"/>
                    <w:spacing w:line="360" w:lineRule="exact"/>
                    <w:jc w:val="left"/>
                  </w:pPr>
                  <w:r>
                    <w:rPr>
                      <w:rFonts w:hint="eastAsia"/>
                    </w:rPr>
                    <w:t>挖掘思政元素，整体设计工匠精神模块内容、课程思政融入教案，组织相关资源开发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881" w:type="dxa"/>
                  <w:vAlign w:val="center"/>
                </w:tcPr>
                <w:p>
                  <w:pPr>
                    <w:pStyle w:val="15"/>
                    <w:spacing w:line="360" w:lineRule="exact"/>
                  </w:pPr>
                  <w:r>
                    <w:rPr>
                      <w:rFonts w:hint="eastAsia"/>
                    </w:rPr>
                    <w:t>7</w:t>
                  </w:r>
                </w:p>
              </w:tc>
              <w:tc>
                <w:tcPr>
                  <w:tcW w:w="1516" w:type="dxa"/>
                  <w:vAlign w:val="center"/>
                </w:tcPr>
                <w:p>
                  <w:pPr>
                    <w:pStyle w:val="15"/>
                    <w:spacing w:line="360" w:lineRule="exact"/>
                    <w:rPr>
                      <w:rFonts w:ascii="仿宋" w:hAnsi="仿宋"/>
                    </w:rPr>
                  </w:pPr>
                  <w:r>
                    <w:rPr>
                      <w:rFonts w:hint="eastAsia" w:ascii="仿宋" w:hAnsi="仿宋"/>
                    </w:rPr>
                    <w:t>杨颂华</w:t>
                  </w:r>
                </w:p>
              </w:tc>
              <w:tc>
                <w:tcPr>
                  <w:tcW w:w="1671" w:type="dxa"/>
                  <w:vAlign w:val="center"/>
                </w:tcPr>
                <w:p>
                  <w:pPr>
                    <w:pStyle w:val="15"/>
                    <w:spacing w:line="360" w:lineRule="exact"/>
                  </w:pPr>
                  <w:r>
                    <w:rPr>
                      <w:rFonts w:hint="eastAsia"/>
                    </w:rPr>
                    <w:t>校企对接</w:t>
                  </w:r>
                </w:p>
              </w:tc>
              <w:tc>
                <w:tcPr>
                  <w:tcW w:w="5802" w:type="dxa"/>
                </w:tcPr>
                <w:p>
                  <w:pPr>
                    <w:pStyle w:val="15"/>
                    <w:spacing w:line="360" w:lineRule="exact"/>
                    <w:jc w:val="left"/>
                    <w:rPr>
                      <w:rFonts w:ascii="仿宋_GB2312" w:hAnsi="仿宋_GB2312" w:eastAsia="仿宋_GB2312" w:cs="仿宋_GB2312"/>
                      <w:kern w:val="0"/>
                      <w:szCs w:val="28"/>
                    </w:rPr>
                  </w:pPr>
                  <w:r>
                    <w:rPr>
                      <w:rFonts w:hint="eastAsia"/>
                    </w:rPr>
                    <w:t>负责与社区、企业等相关合作伙伴进行沟通和协调，开展社会服务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81" w:type="dxa"/>
                  <w:vAlign w:val="center"/>
                </w:tcPr>
                <w:p>
                  <w:pPr>
                    <w:pStyle w:val="15"/>
                    <w:spacing w:line="360" w:lineRule="exact"/>
                  </w:pPr>
                  <w:r>
                    <w:rPr>
                      <w:rFonts w:hint="eastAsia"/>
                    </w:rPr>
                    <w:t>8</w:t>
                  </w:r>
                </w:p>
              </w:tc>
              <w:tc>
                <w:tcPr>
                  <w:tcW w:w="1516" w:type="dxa"/>
                  <w:vAlign w:val="center"/>
                </w:tcPr>
                <w:p>
                  <w:pPr>
                    <w:pStyle w:val="15"/>
                    <w:spacing w:line="360" w:lineRule="exact"/>
                    <w:rPr>
                      <w:rFonts w:ascii="仿宋" w:hAnsi="仿宋"/>
                    </w:rPr>
                  </w:pPr>
                  <w:r>
                    <w:rPr>
                      <w:rFonts w:hint="eastAsia" w:ascii="仿宋" w:hAnsi="仿宋"/>
                    </w:rPr>
                    <w:t>龙江</w:t>
                  </w:r>
                </w:p>
              </w:tc>
              <w:tc>
                <w:tcPr>
                  <w:tcW w:w="1671" w:type="dxa"/>
                  <w:vAlign w:val="center"/>
                </w:tcPr>
                <w:p>
                  <w:pPr>
                    <w:pStyle w:val="15"/>
                    <w:spacing w:line="360" w:lineRule="exact"/>
                  </w:pPr>
                  <w:r>
                    <w:rPr>
                      <w:rFonts w:hint="eastAsia"/>
                    </w:rPr>
                    <w:t>专业课教师</w:t>
                  </w:r>
                </w:p>
              </w:tc>
              <w:tc>
                <w:tcPr>
                  <w:tcW w:w="5802" w:type="dxa"/>
                </w:tcPr>
                <w:p>
                  <w:pPr>
                    <w:pStyle w:val="15"/>
                    <w:spacing w:line="360" w:lineRule="exact"/>
                    <w:jc w:val="left"/>
                  </w:pPr>
                  <w:r>
                    <w:rPr>
                      <w:rFonts w:hint="eastAsia"/>
                    </w:rPr>
                    <w:t>PLC技术基础课程建设的前期调研、结构设计、数字资源开发；课程推广工作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pStyle w:val="15"/>
                    <w:spacing w:line="360" w:lineRule="exact"/>
                  </w:pPr>
                  <w:r>
                    <w:rPr>
                      <w:rFonts w:hint="eastAsia"/>
                    </w:rPr>
                    <w:t>9</w:t>
                  </w:r>
                </w:p>
              </w:tc>
              <w:tc>
                <w:tcPr>
                  <w:tcW w:w="1516" w:type="dxa"/>
                  <w:vAlign w:val="center"/>
                </w:tcPr>
                <w:p>
                  <w:pPr>
                    <w:pStyle w:val="15"/>
                    <w:spacing w:line="360" w:lineRule="exact"/>
                    <w:rPr>
                      <w:rFonts w:ascii="仿宋" w:hAnsi="仿宋"/>
                    </w:rPr>
                  </w:pPr>
                  <w:r>
                    <w:rPr>
                      <w:rFonts w:hint="eastAsia" w:ascii="仿宋" w:hAnsi="仿宋"/>
                    </w:rPr>
                    <w:t>程伟坚</w:t>
                  </w:r>
                </w:p>
              </w:tc>
              <w:tc>
                <w:tcPr>
                  <w:tcW w:w="1671" w:type="dxa"/>
                  <w:vAlign w:val="center"/>
                </w:tcPr>
                <w:p>
                  <w:pPr>
                    <w:pStyle w:val="15"/>
                    <w:spacing w:line="360" w:lineRule="exact"/>
                  </w:pPr>
                  <w:r>
                    <w:rPr>
                      <w:rFonts w:hint="eastAsia"/>
                    </w:rPr>
                    <w:t>专业课教师</w:t>
                  </w:r>
                </w:p>
              </w:tc>
              <w:tc>
                <w:tcPr>
                  <w:tcW w:w="5802" w:type="dxa"/>
                </w:tcPr>
                <w:p>
                  <w:pPr>
                    <w:pStyle w:val="15"/>
                    <w:spacing w:line="360" w:lineRule="exact"/>
                    <w:jc w:val="left"/>
                    <w:rPr>
                      <w:rFonts w:ascii="仿宋_GB2312" w:hAnsi="仿宋_GB2312" w:eastAsia="仿宋_GB2312" w:cs="仿宋_GB2312"/>
                      <w:kern w:val="0"/>
                      <w:szCs w:val="28"/>
                    </w:rPr>
                  </w:pPr>
                  <w:r>
                    <w:rPr>
                      <w:rFonts w:hint="eastAsia"/>
                    </w:rPr>
                    <w:t>机床排故课程建设的前期调研、结构设计、数字资源开发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pStyle w:val="15"/>
                    <w:spacing w:line="360" w:lineRule="exact"/>
                  </w:pPr>
                  <w:r>
                    <w:rPr>
                      <w:rFonts w:hint="eastAsia"/>
                    </w:rPr>
                    <w:t>10</w:t>
                  </w:r>
                </w:p>
              </w:tc>
              <w:tc>
                <w:tcPr>
                  <w:tcW w:w="1516" w:type="dxa"/>
                  <w:vAlign w:val="center"/>
                </w:tcPr>
                <w:p>
                  <w:pPr>
                    <w:pStyle w:val="15"/>
                    <w:spacing w:line="360" w:lineRule="exact"/>
                  </w:pPr>
                  <w:r>
                    <w:rPr>
                      <w:rFonts w:hint="eastAsia"/>
                    </w:rPr>
                    <w:t>冯小童</w:t>
                  </w:r>
                </w:p>
                <w:p>
                  <w:pPr>
                    <w:pStyle w:val="15"/>
                    <w:spacing w:line="360" w:lineRule="exact"/>
                  </w:pPr>
                  <w:r>
                    <w:rPr>
                      <w:rFonts w:hint="eastAsia"/>
                    </w:rPr>
                    <w:t>张欢</w:t>
                  </w:r>
                </w:p>
                <w:p>
                  <w:pPr>
                    <w:pStyle w:val="15"/>
                    <w:spacing w:line="360" w:lineRule="exact"/>
                  </w:pPr>
                  <w:r>
                    <w:rPr>
                      <w:rFonts w:hint="eastAsia"/>
                    </w:rPr>
                    <w:t>杨冲</w:t>
                  </w:r>
                </w:p>
              </w:tc>
              <w:tc>
                <w:tcPr>
                  <w:tcW w:w="1671" w:type="dxa"/>
                  <w:vAlign w:val="center"/>
                </w:tcPr>
                <w:p>
                  <w:pPr>
                    <w:pStyle w:val="15"/>
                    <w:spacing w:line="360" w:lineRule="exact"/>
                  </w:pPr>
                  <w:r>
                    <w:rPr>
                      <w:rFonts w:hint="eastAsia"/>
                    </w:rPr>
                    <w:t>企业专家</w:t>
                  </w:r>
                </w:p>
              </w:tc>
              <w:tc>
                <w:tcPr>
                  <w:tcW w:w="5802" w:type="dxa"/>
                </w:tcPr>
                <w:p>
                  <w:pPr>
                    <w:pStyle w:val="15"/>
                    <w:spacing w:line="360" w:lineRule="exact"/>
                    <w:jc w:val="left"/>
                    <w:rPr>
                      <w:rFonts w:ascii="仿宋_GB2312" w:hAnsi="仿宋_GB2312" w:eastAsia="仿宋_GB2312" w:cs="仿宋_GB2312"/>
                      <w:kern w:val="0"/>
                      <w:szCs w:val="28"/>
                    </w:rPr>
                  </w:pPr>
                  <w:r>
                    <w:rPr>
                      <w:rFonts w:hint="eastAsia"/>
                    </w:rPr>
                    <w:t>前期调研、协助完成新业态下的维修电工岗位能力分析、</w:t>
                  </w:r>
                  <w:r>
                    <w:t>开展校企合作项目，拓展项目资源和影响力。</w:t>
                  </w:r>
                </w:p>
              </w:tc>
            </w:tr>
          </w:tbl>
          <w:p>
            <w:pPr>
              <w:pStyle w:val="15"/>
              <w:spacing w:line="360" w:lineRule="exact"/>
              <w:jc w:val="left"/>
            </w:pPr>
            <w:r>
              <w:rPr>
                <w:rFonts w:hint="eastAsia"/>
              </w:rPr>
              <w:t>特色：</w:t>
            </w:r>
          </w:p>
          <w:p>
            <w:pPr>
              <w:pStyle w:val="15"/>
              <w:spacing w:line="360" w:lineRule="exact"/>
              <w:jc w:val="left"/>
            </w:pPr>
            <w:r>
              <w:rPr>
                <w:rFonts w:hint="eastAsia"/>
              </w:rPr>
              <w:t>1.双师型教师：</w:t>
            </w:r>
            <w:r>
              <w:t>教学团队规模适当，年龄、</w:t>
            </w:r>
            <w:r>
              <w:rPr>
                <w:spacing w:val="-1"/>
              </w:rPr>
              <w:t>职称结构合理，团队成员综合素质和</w:t>
            </w:r>
            <w:r>
              <w:rPr>
                <w:rFonts w:hint="eastAsia"/>
              </w:rPr>
              <w:t>教学经验丰富。有南粤优秀教师、佛山市教育系统优秀教师、广东省教学能力大赛一等奖获得者，广东省青年教师教学能力大赛一等奖获得者等，专业技能突出。</w:t>
            </w:r>
          </w:p>
          <w:p>
            <w:pPr>
              <w:pStyle w:val="15"/>
              <w:spacing w:line="360" w:lineRule="exact"/>
              <w:jc w:val="left"/>
            </w:pPr>
            <w:r>
              <w:rPr>
                <w:rFonts w:hint="eastAsia"/>
              </w:rPr>
              <w:t>2.企业专家：企业经验丰富，多年在企业一线工作，熟悉校企合作机制，在当地制造业有一定的影响力，有助于拓展项目资源和项目推广，提升项目社会服务能力。</w:t>
            </w:r>
          </w:p>
        </w:tc>
      </w:tr>
    </w:tbl>
    <w:p>
      <w:pPr>
        <w:pStyle w:val="14"/>
        <w:spacing w:line="240" w:lineRule="exact"/>
        <w:ind w:firstLine="0" w:firstLineChars="0"/>
        <w:rPr>
          <w:sz w:val="13"/>
          <w:szCs w:val="13"/>
        </w:rPr>
      </w:pPr>
    </w:p>
    <w:p>
      <w:pPr>
        <w:pStyle w:val="11"/>
        <w:sectPr>
          <w:footerReference r:id="rId4" w:type="default"/>
          <w:pgSz w:w="11906" w:h="16838"/>
          <w:pgMar w:top="2098" w:right="1474" w:bottom="1985" w:left="1588" w:header="851" w:footer="1474" w:gutter="0"/>
          <w:pgNumType w:start="1"/>
          <w:cols w:space="720" w:num="1"/>
          <w:titlePg/>
          <w:docGrid w:linePitch="634" w:charSpace="17788"/>
        </w:sectPr>
      </w:pPr>
    </w:p>
    <w:p>
      <w:pPr>
        <w:pStyle w:val="13"/>
        <w:ind w:firstLine="0" w:firstLineChars="0"/>
      </w:pPr>
      <w:r>
        <w:rPr>
          <w:rFonts w:hint="eastAsia"/>
        </w:rPr>
        <w:t>二、建设单位</w:t>
      </w:r>
    </w:p>
    <w:p>
      <w:pPr>
        <w:pStyle w:val="16"/>
        <w:ind w:firstLine="0" w:firstLineChars="0"/>
      </w:pPr>
      <w:r>
        <w:t>1.</w:t>
      </w:r>
      <w:r>
        <w:rPr>
          <w:rFonts w:hint="eastAsia"/>
        </w:rPr>
        <w:t>牵头建设单位</w:t>
      </w:r>
    </w:p>
    <w:tbl>
      <w:tblPr>
        <w:tblStyle w:val="7"/>
        <w:tblW w:w="9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4"/>
        <w:gridCol w:w="2797"/>
        <w:gridCol w:w="2332"/>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864" w:type="dxa"/>
            <w:vAlign w:val="center"/>
          </w:tcPr>
          <w:p>
            <w:pPr>
              <w:pStyle w:val="15"/>
              <w:rPr>
                <w:b/>
              </w:rPr>
            </w:pPr>
            <w:r>
              <w:rPr>
                <w:rFonts w:hint="eastAsia"/>
                <w:b/>
              </w:rPr>
              <w:t>单位名称</w:t>
            </w:r>
          </w:p>
        </w:tc>
        <w:tc>
          <w:tcPr>
            <w:tcW w:w="7462" w:type="dxa"/>
            <w:gridSpan w:val="3"/>
            <w:vAlign w:val="center"/>
          </w:tcPr>
          <w:p>
            <w:pPr>
              <w:pStyle w:val="15"/>
              <w:jc w:val="both"/>
            </w:pPr>
            <w:r>
              <w:t>佛山市华材职业技术学校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864" w:type="dxa"/>
            <w:vAlign w:val="center"/>
          </w:tcPr>
          <w:p>
            <w:pPr>
              <w:pStyle w:val="15"/>
              <w:rPr>
                <w:b/>
              </w:rPr>
            </w:pPr>
            <w:r>
              <w:rPr>
                <w:rFonts w:hint="eastAsia"/>
                <w:b/>
              </w:rPr>
              <w:t>单位地址</w:t>
            </w:r>
          </w:p>
        </w:tc>
        <w:tc>
          <w:tcPr>
            <w:tcW w:w="7462" w:type="dxa"/>
            <w:gridSpan w:val="3"/>
            <w:vAlign w:val="center"/>
          </w:tcPr>
          <w:p>
            <w:pPr>
              <w:widowControl/>
              <w:jc w:val="left"/>
            </w:pPr>
            <w:r>
              <w:rPr>
                <w:rFonts w:ascii="仿宋" w:hAnsi="仿宋" w:eastAsia="仿宋" w:cs="仿宋"/>
                <w:color w:val="000000"/>
                <w:kern w:val="0"/>
                <w:sz w:val="28"/>
                <w:szCs w:val="28"/>
                <w:lang w:bidi="ar"/>
              </w:rPr>
              <w:t>佛山市禅城区丝织路 25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864" w:type="dxa"/>
            <w:vAlign w:val="center"/>
          </w:tcPr>
          <w:p>
            <w:pPr>
              <w:pStyle w:val="15"/>
              <w:rPr>
                <w:b/>
              </w:rPr>
            </w:pPr>
            <w:r>
              <w:rPr>
                <w:rFonts w:hint="eastAsia"/>
                <w:b/>
              </w:rPr>
              <w:t>单位联系人</w:t>
            </w:r>
            <w:r>
              <w:rPr>
                <w:b/>
              </w:rPr>
              <w:br w:type="textWrapping"/>
            </w:r>
            <w:r>
              <w:rPr>
                <w:rFonts w:hint="eastAsia"/>
                <w:b/>
              </w:rPr>
              <w:t>姓名</w:t>
            </w:r>
          </w:p>
        </w:tc>
        <w:tc>
          <w:tcPr>
            <w:tcW w:w="2797" w:type="dxa"/>
            <w:vAlign w:val="center"/>
          </w:tcPr>
          <w:p>
            <w:pPr>
              <w:widowControl/>
              <w:jc w:val="center"/>
            </w:pPr>
            <w:r>
              <w:rPr>
                <w:rFonts w:ascii="仿宋" w:hAnsi="仿宋" w:eastAsia="仿宋" w:cs="仿宋"/>
                <w:color w:val="000000"/>
                <w:kern w:val="0"/>
                <w:sz w:val="28"/>
                <w:szCs w:val="28"/>
                <w:lang w:bidi="ar"/>
              </w:rPr>
              <w:t>李淑浩</w:t>
            </w:r>
          </w:p>
        </w:tc>
        <w:tc>
          <w:tcPr>
            <w:tcW w:w="2332" w:type="dxa"/>
            <w:vAlign w:val="center"/>
          </w:tcPr>
          <w:p>
            <w:pPr>
              <w:pStyle w:val="15"/>
              <w:rPr>
                <w:b/>
              </w:rPr>
            </w:pPr>
            <w:r>
              <w:rPr>
                <w:rFonts w:hint="eastAsia"/>
                <w:b/>
              </w:rPr>
              <w:t>单位联系人电话</w:t>
            </w:r>
          </w:p>
        </w:tc>
        <w:tc>
          <w:tcPr>
            <w:tcW w:w="2333" w:type="dxa"/>
            <w:vAlign w:val="center"/>
          </w:tcPr>
          <w:p>
            <w:pPr>
              <w:widowControl/>
              <w:jc w:val="center"/>
            </w:pPr>
            <w:r>
              <w:rPr>
                <w:rFonts w:ascii="仿宋" w:hAnsi="仿宋" w:eastAsia="仿宋" w:cs="仿宋"/>
                <w:color w:val="000000"/>
                <w:kern w:val="0"/>
                <w:sz w:val="28"/>
                <w:szCs w:val="28"/>
                <w:lang w:bidi="ar"/>
              </w:rPr>
              <w:t>18022217433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5" w:hRule="atLeast"/>
          <w:jc w:val="center"/>
        </w:trPr>
        <w:tc>
          <w:tcPr>
            <w:tcW w:w="1864" w:type="dxa"/>
            <w:vAlign w:val="center"/>
          </w:tcPr>
          <w:p>
            <w:pPr>
              <w:pStyle w:val="15"/>
              <w:rPr>
                <w:b/>
              </w:rPr>
            </w:pPr>
            <w:r>
              <w:rPr>
                <w:rFonts w:hint="eastAsia"/>
                <w:b/>
              </w:rPr>
              <w:t>单位简介</w:t>
            </w:r>
          </w:p>
        </w:tc>
        <w:tc>
          <w:tcPr>
            <w:tcW w:w="7462" w:type="dxa"/>
            <w:gridSpan w:val="3"/>
          </w:tcPr>
          <w:p>
            <w:pPr>
              <w:pStyle w:val="15"/>
              <w:ind w:firstLine="560" w:firstLineChars="200"/>
              <w:jc w:val="both"/>
            </w:pPr>
            <w:r>
              <w:rPr>
                <w:rFonts w:hint="eastAsia"/>
              </w:rPr>
              <w:t xml:space="preserve">佛山市华材职业技术学校成立于 1980 年，是禅城区政 </w:t>
            </w:r>
          </w:p>
          <w:p>
            <w:pPr>
              <w:pStyle w:val="15"/>
              <w:jc w:val="both"/>
            </w:pPr>
            <w:r>
              <w:rPr>
                <w:rFonts w:hint="eastAsia"/>
              </w:rPr>
              <w:t xml:space="preserve">府举办的唯一一所中等职业学校。学校是首批国家级重点职 </w:t>
            </w:r>
          </w:p>
          <w:p>
            <w:pPr>
              <w:pStyle w:val="15"/>
              <w:jc w:val="both"/>
            </w:pPr>
            <w:r>
              <w:rPr>
                <w:rFonts w:hint="eastAsia"/>
              </w:rPr>
              <w:t xml:space="preserve">业高中、广东省示范性中等职业学校、全国职业教育先进单 </w:t>
            </w:r>
          </w:p>
          <w:p>
            <w:pPr>
              <w:pStyle w:val="15"/>
              <w:jc w:val="both"/>
            </w:pPr>
            <w:r>
              <w:rPr>
                <w:rFonts w:hint="eastAsia"/>
              </w:rPr>
              <w:t>位、国家中等职业教育改革发展示范学校，2020 年，学校获 批为广东省高水平中职学校建设单位。学校现开设有工业机器人技术应用、汽车运用与维修等 13 个专业（20 个专业技能方向），覆盖 8 个专业大类。其中有 1 个国家专业示范点， 4 个省重点建设专业、6 个省和市“双精准”专业。8 个专业推进 11 个 1+X 证书制度试点、9 个专业开展中高职贯通人才培养。学校校园占地面积 15.9 万平方米，在校生 7000 余人, 教师 324 人，“双师型”教师 190 人,建筑面积 10.9 万平方米，教学、实习仪器设备资产值 9279 万元，各型实训教学设备 29046 台套，实训工位 6431 个。学校是广东省中职师资培训基地、工信部电子行业特有工种职业技能鉴定站、佛山市第 21 技能鉴定所。建校 40 年来，不忘初心、牢记使命，坚持党和国家的办学方向，遵循“质量立校、合作兴校、文化润校、特色强校”的办学思路，紧密结合地方经济和产业转型升级，“走进园区，对接产业，服务佛山”，探索人才培养模式，培养幸福职业人，为当地经济社会建设做出了突出贡献。</w:t>
            </w:r>
          </w:p>
          <w:p>
            <w:pPr>
              <w:pStyle w:val="15"/>
              <w:jc w:val="both"/>
            </w:pPr>
          </w:p>
        </w:tc>
      </w:tr>
    </w:tbl>
    <w:p>
      <w:pPr>
        <w:pStyle w:val="14"/>
        <w:spacing w:line="240" w:lineRule="exact"/>
        <w:ind w:firstLine="0" w:firstLineChars="0"/>
        <w:rPr>
          <w:sz w:val="11"/>
          <w:szCs w:val="11"/>
        </w:rPr>
      </w:pPr>
    </w:p>
    <w:p>
      <w:pPr>
        <w:pStyle w:val="16"/>
        <w:ind w:firstLine="0" w:firstLineChars="0"/>
      </w:pPr>
      <w:r>
        <w:rPr>
          <w:rFonts w:hint="eastAsia"/>
        </w:rPr>
        <w:t>2</w:t>
      </w:r>
      <w:r>
        <w:t>.</w:t>
      </w:r>
      <w:r>
        <w:rPr>
          <w:rFonts w:hint="eastAsia"/>
        </w:rPr>
        <w:t>共建单位（如无可留空）</w:t>
      </w:r>
    </w:p>
    <w:tbl>
      <w:tblPr>
        <w:tblStyle w:val="7"/>
        <w:tblW w:w="9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32"/>
        <w:gridCol w:w="1838"/>
        <w:gridCol w:w="1536"/>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46" w:type="dxa"/>
            <w:vAlign w:val="center"/>
          </w:tcPr>
          <w:p>
            <w:pPr>
              <w:pStyle w:val="15"/>
              <w:rPr>
                <w:b/>
              </w:rPr>
            </w:pPr>
            <w:r>
              <w:rPr>
                <w:rFonts w:hint="eastAsia"/>
                <w:b/>
              </w:rPr>
              <w:t>序号</w:t>
            </w:r>
          </w:p>
        </w:tc>
        <w:tc>
          <w:tcPr>
            <w:tcW w:w="2832" w:type="dxa"/>
            <w:vAlign w:val="center"/>
          </w:tcPr>
          <w:p>
            <w:pPr>
              <w:pStyle w:val="15"/>
              <w:rPr>
                <w:b/>
              </w:rPr>
            </w:pPr>
            <w:r>
              <w:rPr>
                <w:rFonts w:hint="eastAsia"/>
                <w:b/>
              </w:rPr>
              <w:t>单位名称</w:t>
            </w:r>
          </w:p>
        </w:tc>
        <w:tc>
          <w:tcPr>
            <w:tcW w:w="1838" w:type="dxa"/>
            <w:vAlign w:val="center"/>
          </w:tcPr>
          <w:p>
            <w:pPr>
              <w:pStyle w:val="15"/>
              <w:rPr>
                <w:b/>
              </w:rPr>
            </w:pPr>
            <w:r>
              <w:rPr>
                <w:rFonts w:hint="eastAsia"/>
                <w:b/>
              </w:rPr>
              <w:t>单位性质</w:t>
            </w:r>
          </w:p>
        </w:tc>
        <w:tc>
          <w:tcPr>
            <w:tcW w:w="1536" w:type="dxa"/>
            <w:vAlign w:val="center"/>
          </w:tcPr>
          <w:p>
            <w:pPr>
              <w:pStyle w:val="15"/>
              <w:rPr>
                <w:b/>
              </w:rPr>
            </w:pPr>
            <w:r>
              <w:rPr>
                <w:rFonts w:hint="eastAsia"/>
                <w:b/>
              </w:rPr>
              <w:t>联系人</w:t>
            </w:r>
          </w:p>
        </w:tc>
        <w:tc>
          <w:tcPr>
            <w:tcW w:w="2142" w:type="dxa"/>
            <w:vAlign w:val="center"/>
          </w:tcPr>
          <w:p>
            <w:pPr>
              <w:pStyle w:val="15"/>
              <w:rPr>
                <w:b/>
              </w:rPr>
            </w:pPr>
            <w:r>
              <w:rPr>
                <w:rFonts w:hint="eastAsia"/>
                <w:b/>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46" w:type="dxa"/>
            <w:vAlign w:val="center"/>
          </w:tcPr>
          <w:p>
            <w:pPr>
              <w:pStyle w:val="15"/>
            </w:pPr>
            <w:r>
              <w:rPr>
                <w:rFonts w:hint="eastAsia"/>
              </w:rPr>
              <w:t>1</w:t>
            </w:r>
          </w:p>
        </w:tc>
        <w:tc>
          <w:tcPr>
            <w:tcW w:w="2832" w:type="dxa"/>
            <w:vAlign w:val="center"/>
          </w:tcPr>
          <w:p>
            <w:pPr>
              <w:widowControl/>
              <w:jc w:val="center"/>
            </w:pPr>
            <w:r>
              <w:rPr>
                <w:rFonts w:ascii="仿宋" w:hAnsi="仿宋" w:eastAsia="仿宋" w:cs="仿宋"/>
                <w:color w:val="000000"/>
                <w:kern w:val="0"/>
                <w:sz w:val="28"/>
                <w:szCs w:val="28"/>
                <w:lang w:bidi="ar"/>
              </w:rPr>
              <w:t>佛山华数机器人有限公司</w:t>
            </w:r>
          </w:p>
        </w:tc>
        <w:tc>
          <w:tcPr>
            <w:tcW w:w="1838" w:type="dxa"/>
            <w:vAlign w:val="center"/>
          </w:tcPr>
          <w:p>
            <w:pPr>
              <w:widowControl/>
              <w:jc w:val="center"/>
            </w:pPr>
            <w:r>
              <w:rPr>
                <w:rFonts w:ascii="仿宋" w:hAnsi="仿宋" w:eastAsia="仿宋" w:cs="仿宋"/>
                <w:color w:val="000000"/>
                <w:kern w:val="0"/>
                <w:sz w:val="28"/>
                <w:szCs w:val="28"/>
                <w:lang w:bidi="ar"/>
              </w:rPr>
              <w:t>企业</w:t>
            </w:r>
          </w:p>
        </w:tc>
        <w:tc>
          <w:tcPr>
            <w:tcW w:w="1536" w:type="dxa"/>
            <w:vAlign w:val="center"/>
          </w:tcPr>
          <w:p>
            <w:pPr>
              <w:widowControl/>
              <w:jc w:val="center"/>
            </w:pPr>
            <w:r>
              <w:rPr>
                <w:rFonts w:ascii="仿宋" w:hAnsi="仿宋" w:eastAsia="仿宋" w:cs="仿宋"/>
                <w:color w:val="000000"/>
                <w:kern w:val="0"/>
                <w:sz w:val="28"/>
                <w:szCs w:val="28"/>
                <w:lang w:bidi="ar"/>
              </w:rPr>
              <w:t>冯小童</w:t>
            </w:r>
          </w:p>
        </w:tc>
        <w:tc>
          <w:tcPr>
            <w:tcW w:w="2142" w:type="dxa"/>
            <w:vAlign w:val="center"/>
          </w:tcPr>
          <w:p>
            <w:pPr>
              <w:pStyle w:val="15"/>
            </w:pPr>
            <w:r>
              <w:t>0757-81991733</w:t>
            </w:r>
          </w:p>
        </w:tc>
      </w:tr>
    </w:tbl>
    <w:p>
      <w:pPr>
        <w:pStyle w:val="17"/>
        <w:ind w:firstLine="0" w:firstLineChars="0"/>
      </w:pPr>
      <w:r>
        <w:rPr>
          <w:rFonts w:hint="eastAsia"/>
        </w:rPr>
        <w:t>3</w:t>
      </w:r>
      <w:r>
        <w:t>.</w:t>
      </w:r>
      <w:r>
        <w:rPr>
          <w:rFonts w:hint="eastAsia"/>
        </w:rPr>
        <w:t>多元协同建设机制</w:t>
      </w:r>
    </w:p>
    <w:tbl>
      <w:tblPr>
        <w:tblStyle w:val="7"/>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0" w:hRule="atLeast"/>
          <w:jc w:val="center"/>
        </w:trPr>
        <w:tc>
          <w:tcPr>
            <w:tcW w:w="9033" w:type="dxa"/>
          </w:tcPr>
          <w:p>
            <w:pPr>
              <w:pStyle w:val="15"/>
              <w:spacing w:line="400" w:lineRule="exact"/>
              <w:ind w:firstLine="560" w:firstLineChars="200"/>
              <w:jc w:val="left"/>
            </w:pPr>
          </w:p>
          <w:p>
            <w:pPr>
              <w:pStyle w:val="15"/>
              <w:spacing w:line="400" w:lineRule="exact"/>
              <w:ind w:firstLine="560" w:firstLineChars="200"/>
              <w:jc w:val="left"/>
            </w:pPr>
            <w:r>
              <w:rPr>
                <w:rFonts w:hint="eastAsia"/>
              </w:rPr>
              <w:t>本课程项目由佛山市华材职业技术学校牵头建设、佛山华数机器人有限公司协同，双师型教师+企业专家组成课程项目组，充分发挥合作共建单位优势，体现“共建、共享、共用、共育 ”原则，共同致力于在新业态下佛山制造业数字化转型升级中，提升学习者的维修电工岗位的职业能力及数字化素养。</w:t>
            </w:r>
          </w:p>
          <w:p>
            <w:pPr>
              <w:pStyle w:val="15"/>
              <w:spacing w:line="400" w:lineRule="exact"/>
              <w:ind w:firstLine="560" w:firstLineChars="200"/>
              <w:jc w:val="left"/>
            </w:pPr>
            <w:r>
              <w:rPr>
                <w:rFonts w:hint="eastAsia"/>
              </w:rPr>
              <w:t>牵头建设单位：</w:t>
            </w:r>
          </w:p>
          <w:p>
            <w:pPr>
              <w:pStyle w:val="15"/>
              <w:spacing w:line="400" w:lineRule="exact"/>
              <w:ind w:firstLine="560" w:firstLineChars="200"/>
              <w:jc w:val="left"/>
            </w:pPr>
            <w:r>
              <w:rPr>
                <w:rFonts w:hint="eastAsia"/>
              </w:rPr>
              <w:t>1.设计维修电工岗位数字化课程的课程标准、教材和教学模式，建立线上教学资源库。</w:t>
            </w:r>
          </w:p>
          <w:p>
            <w:pPr>
              <w:pStyle w:val="15"/>
              <w:spacing w:line="400" w:lineRule="exact"/>
              <w:ind w:firstLine="560" w:firstLineChars="200"/>
              <w:jc w:val="left"/>
            </w:pPr>
            <w:r>
              <w:rPr>
                <w:rFonts w:hint="eastAsia"/>
              </w:rPr>
              <w:t>2.在课程实施过程中，利用课堂教学智慧评价系统CSMS，定期进行教学评估和课程反馈，及时改进课程内容和教学方法，确保培训课程的有效性和持续改进。</w:t>
            </w:r>
          </w:p>
          <w:p>
            <w:pPr>
              <w:pStyle w:val="15"/>
              <w:spacing w:line="400" w:lineRule="exact"/>
              <w:ind w:firstLine="560" w:firstLineChars="200"/>
              <w:jc w:val="left"/>
            </w:pPr>
            <w:r>
              <w:rPr>
                <w:rFonts w:hint="eastAsia"/>
              </w:rPr>
              <w:t>共建单位：</w:t>
            </w:r>
          </w:p>
          <w:p>
            <w:pPr>
              <w:pStyle w:val="15"/>
              <w:spacing w:line="400" w:lineRule="exact"/>
              <w:ind w:firstLine="560" w:firstLineChars="200"/>
              <w:jc w:val="left"/>
            </w:pPr>
            <w:r>
              <w:rPr>
                <w:rFonts w:hint="eastAsia"/>
              </w:rPr>
              <w:t>1.发挥企业在当地的社会影响力，通过宣传推广活动，提高课程的知名度和影响力，积极促进社区参与继续教育，增强学习者的技术技能水平，培育良好的职业操守和社会责任。</w:t>
            </w:r>
          </w:p>
          <w:p>
            <w:pPr>
              <w:pStyle w:val="15"/>
              <w:spacing w:line="400" w:lineRule="exact"/>
              <w:ind w:firstLine="560" w:firstLineChars="200"/>
              <w:jc w:val="left"/>
              <w:rPr>
                <w:color w:val="0000FF"/>
              </w:rPr>
            </w:pPr>
          </w:p>
          <w:p>
            <w:pPr>
              <w:pStyle w:val="15"/>
            </w:pPr>
          </w:p>
          <w:p>
            <w:pPr>
              <w:pStyle w:val="15"/>
              <w:spacing w:line="400" w:lineRule="exact"/>
              <w:jc w:val="left"/>
            </w:pPr>
          </w:p>
        </w:tc>
      </w:tr>
    </w:tbl>
    <w:p>
      <w:pPr>
        <w:pStyle w:val="14"/>
        <w:spacing w:line="240" w:lineRule="exact"/>
        <w:ind w:firstLine="0" w:firstLineChars="0"/>
      </w:pPr>
    </w:p>
    <w:p>
      <w:pPr>
        <w:pStyle w:val="13"/>
        <w:ind w:firstLine="0" w:firstLineChars="0"/>
      </w:pPr>
    </w:p>
    <w:p>
      <w:pPr>
        <w:pStyle w:val="13"/>
        <w:ind w:firstLine="0" w:firstLineChars="0"/>
      </w:pPr>
      <w:r>
        <w:rPr>
          <w:rFonts w:hint="eastAsia"/>
        </w:rPr>
        <w:t>三、项目基础</w:t>
      </w:r>
    </w:p>
    <w:tbl>
      <w:tblPr>
        <w:tblStyle w:val="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5" w:hRule="atLeast"/>
          <w:jc w:val="center"/>
        </w:trPr>
        <w:tc>
          <w:tcPr>
            <w:tcW w:w="9233" w:type="dxa"/>
          </w:tcPr>
          <w:p>
            <w:pPr>
              <w:pStyle w:val="15"/>
              <w:tabs>
                <w:tab w:val="left" w:pos="312"/>
              </w:tabs>
              <w:spacing w:line="400" w:lineRule="exact"/>
              <w:jc w:val="left"/>
            </w:pPr>
            <w:r>
              <w:rPr>
                <w:rFonts w:hint="eastAsia"/>
              </w:rPr>
              <w:t>一、学校重视、专业群建设特色鲜明</w:t>
            </w:r>
          </w:p>
          <w:p>
            <w:pPr>
              <w:pStyle w:val="15"/>
              <w:tabs>
                <w:tab w:val="left" w:pos="312"/>
              </w:tabs>
              <w:spacing w:line="400" w:lineRule="exact"/>
              <w:ind w:firstLine="560" w:firstLineChars="200"/>
              <w:jc w:val="left"/>
            </w:pPr>
            <w:r>
              <w:rPr>
                <w:rFonts w:hint="eastAsia"/>
              </w:rPr>
              <w:t>1.</w:t>
            </w:r>
            <w:r>
              <w:t>学校重视数字化课程资源的开发，坚持立德树人，致力于培养出德智体美劳全面发展的学生，为学生以后进入职业院校打下坚实基础，也为企业培养一批职业素养高、数字素养高的技术技能人才</w:t>
            </w:r>
            <w:r>
              <w:rPr>
                <w:rFonts w:hint="eastAsia"/>
              </w:rPr>
              <w:t>；</w:t>
            </w:r>
          </w:p>
          <w:p>
            <w:pPr>
              <w:pStyle w:val="15"/>
              <w:tabs>
                <w:tab w:val="left" w:pos="312"/>
              </w:tabs>
              <w:spacing w:line="400" w:lineRule="exact"/>
              <w:ind w:firstLine="560" w:firstLineChars="200"/>
              <w:jc w:val="left"/>
            </w:pPr>
            <w:r>
              <w:rPr>
                <w:rFonts w:hint="eastAsia"/>
              </w:rPr>
              <w:t>2.工业机器人技术应用专业群由工业机器人技术应用、机械加工技术、电子与信息技术、汽车运用与维修等</w:t>
            </w:r>
            <w:r>
              <w:t>4个专业组成，专业群的核心专业是工业机器人技术应用专业，其中国家示范专业点1个，教育部“1+X”证书制度改革试点专业4个、教育部现代学徒制试点专业2个，广东省中高职衔接培养“三二分段”试点专业3个，省重点专业2个，市重点专业1个，省、市级“双精准”示范建设专业共3个。精准对接先进装备制造战略性新兴产业集群，面向智能制造、汽车制造等行业、企业，聚集智能装备零件加工、检测、装配以及机器人自动化产线的装配、维修、维护、服务</w:t>
            </w:r>
            <w:r>
              <w:rPr>
                <w:rFonts w:hint="eastAsia"/>
              </w:rPr>
              <w:t>等核心流程，分析归纳了“制造（加工—检测—装配）—维护—服务”的全流程产业链，定位“智能化制造—专业化维护—信息化服务”的机械加工、机电装调、工业机器人应用、汽车机电维修等岗位（群），培养“懂制造、通维护、精操作、会服务”的复合型技术技能人才。</w:t>
            </w:r>
          </w:p>
          <w:p>
            <w:pPr>
              <w:pStyle w:val="15"/>
              <w:spacing w:line="400" w:lineRule="exact"/>
              <w:jc w:val="left"/>
            </w:pPr>
            <w:r>
              <w:rPr>
                <w:rFonts w:hint="eastAsia"/>
              </w:rPr>
              <w:t>二</w:t>
            </w:r>
            <w:r>
              <w:t>、</w:t>
            </w:r>
            <w:r>
              <w:rPr>
                <w:rFonts w:hint="eastAsia"/>
              </w:rPr>
              <w:t>专业群</w:t>
            </w:r>
            <w:r>
              <w:t>课程</w:t>
            </w:r>
            <w:r>
              <w:rPr>
                <w:rFonts w:hint="eastAsia"/>
              </w:rPr>
              <w:t>建设</w:t>
            </w:r>
            <w:r>
              <w:t>基础好</w:t>
            </w:r>
          </w:p>
          <w:p>
            <w:pPr>
              <w:pStyle w:val="15"/>
              <w:spacing w:line="400" w:lineRule="exact"/>
              <w:ind w:firstLine="560" w:firstLineChars="200"/>
              <w:jc w:val="left"/>
            </w:pPr>
            <w:r>
              <w:rPr>
                <w:rFonts w:hint="eastAsia"/>
              </w:rPr>
              <w:t>以专业群的方式，建设了PLC技术基础、电子生产设备操作与维护、电工技术基础与技能和电子技术基础与实训系列维修电工岗位相关课程共4门，并同步开发了相对应的数字化教学资源，相关课程一共</w:t>
            </w:r>
            <w:r>
              <w:t>开设</w:t>
            </w:r>
            <w:r>
              <w:rPr>
                <w:rFonts w:hint="eastAsia"/>
              </w:rPr>
              <w:t>了27个</w:t>
            </w:r>
            <w:r>
              <w:t>周期</w:t>
            </w:r>
            <w:r>
              <w:rPr>
                <w:rFonts w:hint="eastAsia"/>
              </w:rPr>
              <w:t>，效果良好。</w:t>
            </w:r>
          </w:p>
          <w:p>
            <w:pPr>
              <w:pStyle w:val="15"/>
              <w:spacing w:line="400" w:lineRule="exact"/>
              <w:jc w:val="left"/>
            </w:pPr>
            <w:r>
              <w:rPr>
                <w:rFonts w:hint="eastAsia"/>
              </w:rPr>
              <w:t>三</w:t>
            </w:r>
            <w:r>
              <w:t>、</w:t>
            </w:r>
            <w:r>
              <w:rPr>
                <w:rFonts w:hint="eastAsia"/>
              </w:rPr>
              <w:t>专业群</w:t>
            </w:r>
            <w:r>
              <w:t>教学团队教改能力突出</w:t>
            </w:r>
          </w:p>
          <w:p>
            <w:pPr>
              <w:pStyle w:val="15"/>
              <w:spacing w:line="400" w:lineRule="exact"/>
              <w:ind w:firstLine="560" w:firstLineChars="200"/>
              <w:jc w:val="left"/>
            </w:pPr>
            <w:r>
              <w:rPr>
                <w:rFonts w:hint="eastAsia"/>
              </w:rPr>
              <w:t>课程项目</w:t>
            </w:r>
            <w:r>
              <w:t>团队是一支职称结构、知识结构、年龄结构合理，具有复合技术技能的“双师型 ”教师教学队伍。专业教学团队成员教育经验丰富，教改能力强。</w:t>
            </w:r>
            <w:r>
              <w:rPr>
                <w:rFonts w:hint="eastAsia"/>
              </w:rPr>
              <w:t>教学成果获得省教育教学成果</w:t>
            </w:r>
            <w:r>
              <w:t>2项，专业部培养了黄炎培职业教育奖杰出教师奖1人，国家级育人标兵1人，省级名师1人，南粤优秀教师1人，市级优秀教师3人，市级技术能手6人，国家级金牌教练10人。专业建设水平和贡献得到行业企业高度认同，在省内外起到示范和引领作用。</w:t>
            </w:r>
          </w:p>
          <w:p>
            <w:pPr>
              <w:pStyle w:val="15"/>
              <w:spacing w:line="400" w:lineRule="exact"/>
              <w:jc w:val="left"/>
            </w:pPr>
            <w:r>
              <w:rPr>
                <w:rFonts w:hint="eastAsia"/>
              </w:rPr>
              <w:t>四</w:t>
            </w:r>
            <w:r>
              <w:t>、人才培养成效显著</w:t>
            </w:r>
          </w:p>
          <w:p>
            <w:pPr>
              <w:pStyle w:val="15"/>
              <w:spacing w:line="400" w:lineRule="exact"/>
              <w:ind w:firstLine="560" w:firstLineChars="200"/>
              <w:jc w:val="left"/>
            </w:pPr>
            <w:r>
              <w:rPr>
                <w:rFonts w:hint="eastAsia"/>
              </w:rPr>
              <w:t>1.</w:t>
            </w:r>
            <w:r>
              <w:t>学生考证情况</w:t>
            </w:r>
          </w:p>
          <w:p>
            <w:pPr>
              <w:pStyle w:val="15"/>
              <w:spacing w:line="400" w:lineRule="exact"/>
              <w:ind w:firstLine="560" w:firstLineChars="200"/>
              <w:jc w:val="left"/>
            </w:pPr>
            <w:r>
              <w:t>2022年工业机器人技术应用专业群毕业总人数为518人，其中465人获得初、中级职业资格证书。专业群平均学生毕业双证率95.5%。</w:t>
            </w:r>
          </w:p>
          <w:p>
            <w:pPr>
              <w:pStyle w:val="15"/>
              <w:spacing w:line="400" w:lineRule="exact"/>
              <w:ind w:firstLine="560" w:firstLineChars="200"/>
              <w:jc w:val="left"/>
            </w:pPr>
            <w:r>
              <w:t>2.学生技能竞赛成绩</w:t>
            </w:r>
          </w:p>
          <w:p>
            <w:pPr>
              <w:pStyle w:val="15"/>
              <w:spacing w:line="400" w:lineRule="exact"/>
              <w:ind w:firstLine="560" w:firstLineChars="200"/>
              <w:jc w:val="left"/>
            </w:pPr>
            <w:r>
              <w:rPr>
                <w:rFonts w:hint="eastAsia"/>
              </w:rPr>
              <w:t>学生技能竞赛获奖国家级</w:t>
            </w:r>
            <w:r>
              <w:t>42人次、省级139人次，位居同行前列。</w:t>
            </w:r>
          </w:p>
          <w:p>
            <w:pPr>
              <w:pStyle w:val="15"/>
              <w:spacing w:line="400" w:lineRule="exact"/>
              <w:jc w:val="left"/>
            </w:pPr>
            <w:r>
              <w:rPr>
                <w:rFonts w:hint="eastAsia"/>
              </w:rPr>
              <w:t>五</w:t>
            </w:r>
            <w:r>
              <w:t>、</w:t>
            </w:r>
            <w:r>
              <w:rPr>
                <w:rFonts w:hint="eastAsia"/>
              </w:rPr>
              <w:t>产教融合成绩斐然。</w:t>
            </w:r>
          </w:p>
          <w:p>
            <w:pPr>
              <w:pStyle w:val="15"/>
              <w:spacing w:line="400" w:lineRule="exact"/>
              <w:ind w:firstLine="560" w:firstLineChars="200"/>
              <w:jc w:val="left"/>
            </w:pPr>
            <w:r>
              <w:rPr>
                <w:rFonts w:hint="eastAsia"/>
              </w:rPr>
              <w:t>专业</w:t>
            </w:r>
            <w:r>
              <w:t>群</w:t>
            </w:r>
            <w:r>
              <w:rPr>
                <w:rFonts w:hint="eastAsia"/>
              </w:rPr>
              <w:t>积极</w:t>
            </w:r>
            <w:r>
              <w:t>开展行业企业培训</w:t>
            </w:r>
            <w:r>
              <w:rPr>
                <w:rFonts w:hint="eastAsia"/>
              </w:rPr>
              <w:t>，开展</w:t>
            </w:r>
            <w:r>
              <w:t>对外技术服务</w:t>
            </w:r>
            <w:r>
              <w:rPr>
                <w:rFonts w:hint="eastAsia"/>
              </w:rPr>
              <w:t>和</w:t>
            </w:r>
            <w:r>
              <w:t>校外技能鉴定培训</w:t>
            </w:r>
            <w:r>
              <w:rPr>
                <w:rFonts w:hint="eastAsia"/>
              </w:rPr>
              <w:t>。</w:t>
            </w:r>
            <w:r>
              <w:t>2021年度，电子信息技术专业开展对外技术服务达35人日</w:t>
            </w:r>
            <w:r>
              <w:rPr>
                <w:rFonts w:hint="eastAsia"/>
              </w:rPr>
              <w:t>;</w:t>
            </w:r>
            <w:r>
              <w:t xml:space="preserve"> </w:t>
            </w:r>
            <w:r>
              <w:rPr>
                <w:rFonts w:hint="eastAsia"/>
              </w:rPr>
              <w:t>工业机器人技术应用专业</w:t>
            </w:r>
            <w:r>
              <w:t>2022-2023年创新开展校外技能鉴定培训考核332人次，累计培训量4702人日</w:t>
            </w:r>
            <w:r>
              <w:rPr>
                <w:rFonts w:hint="eastAsia"/>
              </w:rPr>
              <w:t>。</w:t>
            </w:r>
          </w:p>
          <w:p>
            <w:pPr>
              <w:pStyle w:val="15"/>
              <w:spacing w:line="400" w:lineRule="exact"/>
              <w:jc w:val="left"/>
            </w:pPr>
          </w:p>
        </w:tc>
      </w:tr>
    </w:tbl>
    <w:p>
      <w:pPr>
        <w:pStyle w:val="14"/>
        <w:spacing w:line="240" w:lineRule="exact"/>
        <w:ind w:firstLine="0" w:firstLineChars="0"/>
      </w:pPr>
    </w:p>
    <w:p>
      <w:pPr>
        <w:pStyle w:val="14"/>
        <w:ind w:firstLine="0" w:firstLineChars="0"/>
        <w:sectPr>
          <w:pgSz w:w="11906" w:h="16838"/>
          <w:pgMar w:top="2098" w:right="1474" w:bottom="1985" w:left="1588" w:header="851" w:footer="992" w:gutter="0"/>
          <w:cols w:space="720" w:num="1"/>
          <w:docGrid w:linePitch="634" w:charSpace="17788"/>
        </w:sectPr>
      </w:pPr>
    </w:p>
    <w:p>
      <w:pPr>
        <w:pStyle w:val="13"/>
        <w:ind w:firstLine="0" w:firstLineChars="0"/>
      </w:pPr>
      <w:r>
        <w:rPr>
          <w:rFonts w:hint="eastAsia"/>
        </w:rPr>
        <w:t>四、建设目标</w:t>
      </w:r>
    </w:p>
    <w:tbl>
      <w:tblPr>
        <w:tblStyle w:val="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5" w:hRule="atLeast"/>
          <w:jc w:val="center"/>
        </w:trPr>
        <w:tc>
          <w:tcPr>
            <w:tcW w:w="9233" w:type="dxa"/>
          </w:tcPr>
          <w:p>
            <w:pPr>
              <w:pStyle w:val="15"/>
              <w:spacing w:line="400" w:lineRule="exact"/>
              <w:ind w:firstLine="560" w:firstLineChars="200"/>
              <w:jc w:val="left"/>
              <w:rPr>
                <w:rFonts w:ascii="仿宋" w:hAnsi="仿宋" w:cs="仿宋"/>
              </w:rPr>
            </w:pPr>
            <w:r>
              <w:rPr>
                <w:rFonts w:hint="eastAsia" w:ascii="仿宋" w:hAnsi="仿宋" w:cs="仿宋"/>
              </w:rPr>
              <w:t>总体目标：</w:t>
            </w:r>
          </w:p>
          <w:p>
            <w:pPr>
              <w:pStyle w:val="15"/>
              <w:spacing w:line="400" w:lineRule="exact"/>
              <w:ind w:firstLine="560" w:firstLineChars="200"/>
              <w:jc w:val="left"/>
              <w:rPr>
                <w:rFonts w:ascii="仿宋" w:hAnsi="仿宋" w:cs="仿宋"/>
              </w:rPr>
            </w:pPr>
            <w:r>
              <w:rPr>
                <w:rFonts w:hint="eastAsia" w:ascii="仿宋" w:hAnsi="仿宋" w:cs="仿宋"/>
              </w:rPr>
              <w:t>为适应企业数字化转型升级，建设一门适合中职学生学习需要或者企业中等技术人员专业进修需要的维修电工岗位数字化课程。使学习者通过学习，技能水平达到“电工”职业资格标准相关技能要求，具有较高的数字素养，契合专业人才培养目标及企业岗位需求。</w:t>
            </w:r>
          </w:p>
          <w:p>
            <w:pPr>
              <w:pStyle w:val="15"/>
              <w:spacing w:line="400" w:lineRule="exact"/>
              <w:ind w:firstLine="560" w:firstLineChars="200"/>
              <w:jc w:val="left"/>
              <w:rPr>
                <w:rFonts w:ascii="仿宋" w:hAnsi="仿宋" w:cs="仿宋"/>
              </w:rPr>
            </w:pPr>
            <w:r>
              <w:rPr>
                <w:rFonts w:hint="eastAsia" w:ascii="仿宋" w:hAnsi="仿宋" w:cs="仿宋"/>
              </w:rPr>
              <w:t>1、课程思政建设目标</w:t>
            </w:r>
          </w:p>
          <w:p>
            <w:pPr>
              <w:pStyle w:val="15"/>
              <w:spacing w:line="400" w:lineRule="exact"/>
              <w:ind w:firstLine="560" w:firstLineChars="200"/>
              <w:jc w:val="left"/>
              <w:rPr>
                <w:rFonts w:ascii="仿宋" w:hAnsi="仿宋" w:cs="仿宋"/>
              </w:rPr>
            </w:pPr>
            <w:r>
              <w:rPr>
                <w:rFonts w:hint="eastAsia" w:ascii="仿宋" w:hAnsi="仿宋" w:cs="仿宋"/>
              </w:rPr>
              <w:t>开发</w:t>
            </w:r>
            <w:r>
              <w:t>思政元素</w:t>
            </w:r>
            <w:r>
              <w:rPr>
                <w:rFonts w:hint="eastAsia"/>
              </w:rPr>
              <w:t>50</w:t>
            </w:r>
            <w:r>
              <w:t>个</w:t>
            </w:r>
            <w:r>
              <w:rPr>
                <w:rFonts w:hint="eastAsia"/>
              </w:rPr>
              <w:t>，涵盖课程的4个模块，巧妙的融入到教学过程当中，</w:t>
            </w:r>
            <w:r>
              <w:rPr>
                <w:rFonts w:hint="eastAsia" w:ascii="仿宋" w:hAnsi="仿宋" w:cs="仿宋"/>
              </w:rPr>
              <w:t>培养学习者遵守职业规范的意识；对工作敬业负责的职业精神；一丝不苟、精益求精的工匠精神；注重培养学生家国情怀、社会责任、科学精神、职业操守，课程体现知识传授、能力培养与价值塑造的三位一体。</w:t>
            </w:r>
          </w:p>
          <w:p>
            <w:pPr>
              <w:pStyle w:val="15"/>
              <w:spacing w:line="400" w:lineRule="exact"/>
              <w:ind w:firstLine="560" w:firstLineChars="200"/>
              <w:jc w:val="left"/>
              <w:rPr>
                <w:rFonts w:ascii="仿宋" w:hAnsi="仿宋" w:cs="仿宋"/>
              </w:rPr>
            </w:pPr>
            <w:r>
              <w:rPr>
                <w:rFonts w:hint="eastAsia" w:ascii="仿宋" w:hAnsi="仿宋" w:cs="仿宋"/>
              </w:rPr>
              <w:t>2、课程资源建设目标</w:t>
            </w:r>
          </w:p>
          <w:p>
            <w:pPr>
              <w:pStyle w:val="15"/>
              <w:spacing w:line="400" w:lineRule="exact"/>
              <w:ind w:firstLine="560" w:firstLineChars="200"/>
              <w:jc w:val="left"/>
              <w:rPr>
                <w:rFonts w:ascii="仿宋" w:hAnsi="仿宋" w:cs="仿宋"/>
              </w:rPr>
            </w:pPr>
            <w:r>
              <w:rPr>
                <w:rFonts w:hint="eastAsia" w:ascii="仿宋" w:hAnsi="仿宋" w:cs="仿宋"/>
              </w:rPr>
              <w:t>以区域内企业先进新技术、新工艺、新设备为依托，制作、丰富、优化课程资源，引入企业案例、丰富线上教育资源，提升教育资源的质量，优化数字资源。建成后教学设计、考核试题等静态文本文件资源不少于100个，针对重点难点内容制作动画、演示视频等动态资源不少于20个。资源要有较强的针对性与实效性。</w:t>
            </w:r>
          </w:p>
          <w:p>
            <w:pPr>
              <w:pStyle w:val="15"/>
              <w:spacing w:line="400" w:lineRule="exact"/>
              <w:ind w:firstLine="560" w:firstLineChars="200"/>
              <w:jc w:val="left"/>
              <w:rPr>
                <w:rFonts w:ascii="仿宋" w:hAnsi="仿宋" w:cs="仿宋"/>
              </w:rPr>
            </w:pPr>
            <w:r>
              <w:rPr>
                <w:rFonts w:hint="eastAsia" w:ascii="仿宋" w:hAnsi="仿宋" w:cs="仿宋"/>
              </w:rPr>
              <w:t>3、校企合作建设目标</w:t>
            </w:r>
          </w:p>
          <w:p>
            <w:pPr>
              <w:pStyle w:val="15"/>
              <w:spacing w:line="400" w:lineRule="exact"/>
              <w:ind w:firstLine="560" w:firstLineChars="200"/>
              <w:jc w:val="left"/>
              <w:rPr>
                <w:rFonts w:ascii="仿宋" w:hAnsi="仿宋" w:cs="仿宋"/>
              </w:rPr>
            </w:pPr>
            <w:r>
              <w:rPr>
                <w:rFonts w:hint="eastAsia" w:ascii="仿宋" w:hAnsi="仿宋" w:cs="仿宋"/>
              </w:rPr>
              <w:t>依托专业指导委员会、对接佛山先进装备制造业，建设“四共同”校企深度合作机制，即“共建基地、共建课程、共享师资、共育人才”。在课程开展之前，由牵头单位组织，企业协同，共同对新业态下维修电工岗位的职业能力进行调研并对职业的数字化能力进行分析，匹配职业能力要求。</w:t>
            </w:r>
          </w:p>
          <w:p>
            <w:pPr>
              <w:pStyle w:val="15"/>
              <w:spacing w:line="400" w:lineRule="exact"/>
              <w:jc w:val="left"/>
              <w:rPr>
                <w:rFonts w:ascii="方正仿宋_GB2312" w:hAnsi="方正仿宋_GB2312" w:cs="方正仿宋_GB2312"/>
              </w:rPr>
            </w:pPr>
            <w:r>
              <w:rPr>
                <w:rFonts w:hint="eastAsia" w:ascii="仿宋" w:hAnsi="仿宋" w:cs="仿宋"/>
              </w:rPr>
              <w:t>为在校学生及企业员工提供优质的数字化课程1门，每年组织一次技能竞赛以及赛前培训，</w:t>
            </w:r>
            <w:r>
              <w:rPr>
                <w:rFonts w:hint="eastAsia" w:ascii="仿宋" w:hAnsi="仿宋" w:cs="仿宋"/>
                <w:szCs w:val="28"/>
              </w:rPr>
              <w:t>每年组织一次维修电工中级考证辅导课</w:t>
            </w:r>
            <w:r>
              <w:rPr>
                <w:rFonts w:hint="eastAsia" w:ascii="仿宋" w:hAnsi="仿宋" w:cs="仿宋"/>
              </w:rPr>
              <w:t>。</w:t>
            </w:r>
          </w:p>
          <w:p>
            <w:pPr>
              <w:pStyle w:val="15"/>
              <w:numPr>
                <w:ilvl w:val="0"/>
                <w:numId w:val="4"/>
              </w:numPr>
              <w:spacing w:line="400" w:lineRule="exact"/>
              <w:ind w:firstLine="560" w:firstLineChars="200"/>
              <w:jc w:val="left"/>
            </w:pPr>
            <w:r>
              <w:rPr>
                <w:rFonts w:hint="eastAsia"/>
              </w:rPr>
              <w:t>建设数字化课程</w:t>
            </w:r>
          </w:p>
          <w:p>
            <w:pPr>
              <w:pStyle w:val="15"/>
              <w:spacing w:line="400" w:lineRule="exact"/>
              <w:ind w:firstLine="560" w:firstLineChars="200"/>
              <w:jc w:val="left"/>
            </w:pPr>
            <w:r>
              <w:t>服务产业数字化转型升级，对接新业态、新模式、新技术、新岗位对新时代技术技能人才的能力需求，按照教育教学规律和人才成长规律，校企合作共同开发“数字化”活页式</w:t>
            </w:r>
            <w:r>
              <w:rPr>
                <w:rFonts w:hint="eastAsia"/>
              </w:rPr>
              <w:t>工单</w:t>
            </w:r>
            <w:r>
              <w:t>、</w:t>
            </w:r>
            <w:r>
              <w:rPr>
                <w:rFonts w:hint="eastAsia"/>
              </w:rPr>
              <w:t>数字化</w:t>
            </w:r>
            <w:r>
              <w:t>教材，建设</w:t>
            </w:r>
            <w:r>
              <w:rPr>
                <w:rFonts w:hint="eastAsia"/>
              </w:rPr>
              <w:t>数字化课程</w:t>
            </w:r>
            <w:r>
              <w:t>。将数字化素养、数字化职业能力纳入专业课程，更新课程标准、教学设计等，</w:t>
            </w:r>
            <w:r>
              <w:rPr>
                <w:rFonts w:hint="eastAsia"/>
              </w:rPr>
              <w:t>搭建线上数字化教学平台1个；每期课程定期开展线上互动，教学资源根据项目进度安排按时更新；每期运用CSMS-课堂教学智慧评价系统进行教学评价2次以上，收集反馈意见，不断提高教学实效，</w:t>
            </w:r>
            <w:r>
              <w:t>推动教学评价改革</w:t>
            </w:r>
            <w:r>
              <w:rPr>
                <w:rFonts w:hint="eastAsia"/>
              </w:rPr>
              <w:t>；开发</w:t>
            </w:r>
            <w:r>
              <w:t>职业能力教学案例2个；数字化教材</w:t>
            </w:r>
            <w:r>
              <w:rPr>
                <w:rFonts w:hint="eastAsia"/>
              </w:rPr>
              <w:t>1</w:t>
            </w:r>
            <w:r>
              <w:t>本。</w:t>
            </w:r>
          </w:p>
        </w:tc>
      </w:tr>
    </w:tbl>
    <w:p>
      <w:pPr>
        <w:pStyle w:val="14"/>
        <w:spacing w:line="240" w:lineRule="exact"/>
        <w:ind w:firstLine="0" w:firstLineChars="0"/>
      </w:pPr>
    </w:p>
    <w:p>
      <w:pPr>
        <w:pStyle w:val="14"/>
        <w:ind w:firstLine="0" w:firstLineChars="0"/>
        <w:sectPr>
          <w:pgSz w:w="11906" w:h="16838"/>
          <w:pgMar w:top="2098" w:right="1474" w:bottom="1985" w:left="1588" w:header="851" w:footer="992" w:gutter="0"/>
          <w:cols w:space="720" w:num="1"/>
          <w:docGrid w:linePitch="634" w:charSpace="17788"/>
        </w:sectPr>
      </w:pPr>
    </w:p>
    <w:p>
      <w:pPr>
        <w:pStyle w:val="13"/>
        <w:ind w:firstLine="0" w:firstLineChars="0"/>
      </w:pPr>
      <w:r>
        <w:rPr>
          <w:rFonts w:hint="eastAsia"/>
        </w:rPr>
        <w:t>五、项目建设方案</w:t>
      </w:r>
    </w:p>
    <w:tbl>
      <w:tblPr>
        <w:tblStyle w:val="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5" w:hRule="atLeast"/>
          <w:jc w:val="center"/>
        </w:trPr>
        <w:tc>
          <w:tcPr>
            <w:tcW w:w="9233" w:type="dxa"/>
          </w:tcPr>
          <w:p>
            <w:pPr>
              <w:pStyle w:val="9"/>
              <w:jc w:val="left"/>
              <w:rPr>
                <w:rFonts w:ascii="仿宋" w:hAnsi="仿宋" w:eastAsia="仿宋" w:cs="仿宋"/>
                <w:b/>
                <w:bCs/>
                <w:sz w:val="28"/>
                <w:szCs w:val="28"/>
              </w:rPr>
            </w:pPr>
            <w:r>
              <w:rPr>
                <w:rFonts w:hint="eastAsia" w:ascii="仿宋" w:hAnsi="仿宋" w:eastAsia="仿宋" w:cs="仿宋"/>
                <w:b/>
                <w:bCs/>
                <w:sz w:val="28"/>
                <w:szCs w:val="28"/>
              </w:rPr>
              <w:t>一、项目建设思路</w:t>
            </w:r>
          </w:p>
          <w:p>
            <w:pPr>
              <w:ind w:firstLine="560" w:firstLineChars="200"/>
              <w:rPr>
                <w:rFonts w:ascii="仿宋" w:hAnsi="仿宋" w:eastAsia="仿宋" w:cs="仿宋"/>
                <w:sz w:val="28"/>
                <w:szCs w:val="28"/>
              </w:rPr>
            </w:pPr>
            <w:r>
              <w:rPr>
                <w:rFonts w:hint="eastAsia" w:ascii="仿宋" w:hAnsi="仿宋" w:eastAsia="仿宋" w:cs="仿宋"/>
                <w:sz w:val="28"/>
                <w:szCs w:val="28"/>
              </w:rPr>
              <w:t xml:space="preserve">联合国内从事智能装备和智慧工厂应用模式具有代表性的企业合作研制，利用企业在行业内累积的经验同时结合职业培训的需求，打造出高度贴合高职升学和企业维修电工岗位需求的数字化精品课程。 </w:t>
            </w:r>
          </w:p>
          <w:p>
            <w:pPr>
              <w:ind w:firstLine="560" w:firstLineChars="200"/>
              <w:rPr>
                <w:rFonts w:ascii="仿宋" w:hAnsi="仿宋" w:eastAsia="仿宋" w:cs="仿宋"/>
                <w:sz w:val="28"/>
                <w:szCs w:val="28"/>
              </w:rPr>
            </w:pPr>
            <w:r>
              <w:rPr>
                <w:rFonts w:hint="eastAsia" w:ascii="仿宋" w:hAnsi="仿宋" w:eastAsia="仿宋" w:cs="仿宋"/>
                <w:sz w:val="28"/>
                <w:szCs w:val="28"/>
              </w:rPr>
              <w:t>利用一年时间，完成课程数字化资源建设工作，提高学生的考证通过率；对接产业现实需求和维修电工职业技能等级要求。设计岗位项目，制定岗位培训大纲、开发对应数字化教材、课件、学习 材料、题库等。</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1、维修电工岗位数字化课程设计思路</w:t>
            </w:r>
          </w:p>
          <w:p>
            <w:pPr>
              <w:ind w:firstLine="560" w:firstLineChars="200"/>
              <w:rPr>
                <w:rFonts w:ascii="仿宋" w:hAnsi="仿宋" w:eastAsia="仿宋" w:cs="仿宋"/>
                <w:sz w:val="28"/>
                <w:szCs w:val="28"/>
              </w:rPr>
            </w:pPr>
            <w:r>
              <w:rPr>
                <w:rFonts w:hint="eastAsia" w:ascii="仿宋" w:hAnsi="仿宋" w:eastAsia="仿宋" w:cs="仿宋"/>
                <w:sz w:val="28"/>
                <w:szCs w:val="28"/>
              </w:rPr>
              <w:t>1）本课程标准的总体设计思路：是以维修电工岗位群的工作要求分析作为切入口，将传统学科知识系统的课程内容转换为数字化的课程内容，学习交互性强，能够有效调动学习者主动学习，立足学习者在职学习的需要。</w:t>
            </w:r>
          </w:p>
          <w:p>
            <w:pPr>
              <w:ind w:firstLine="560" w:firstLineChars="200"/>
            </w:pPr>
            <w:r>
              <w:rPr>
                <w:rFonts w:hint="eastAsia" w:ascii="仿宋" w:hAnsi="仿宋" w:eastAsia="仿宋" w:cs="仿宋"/>
                <w:sz w:val="28"/>
                <w:szCs w:val="28"/>
              </w:rPr>
              <w:t>在课程实施中，采用项目化学习情景设计、案例法分析法、教学做一体、生产现场教学等方法，针对每一个工作过程环节来实现相关课程内容的学习和掌握。</w:t>
            </w:r>
          </w:p>
          <w:p>
            <w:pPr>
              <w:ind w:firstLine="560" w:firstLineChars="200"/>
              <w:rPr>
                <w:rFonts w:ascii="仿宋" w:hAnsi="仿宋" w:eastAsia="仿宋" w:cs="仿宋"/>
                <w:sz w:val="28"/>
                <w:szCs w:val="28"/>
              </w:rPr>
            </w:pPr>
            <w:r>
              <w:rPr>
                <w:rFonts w:hint="eastAsia" w:ascii="仿宋" w:hAnsi="仿宋" w:eastAsia="仿宋" w:cs="仿宋"/>
                <w:sz w:val="28"/>
                <w:szCs w:val="28"/>
              </w:rPr>
              <w:t xml:space="preserve">2）“思政育人”设计思路（理念）： </w:t>
            </w:r>
          </w:p>
          <w:p>
            <w:pPr>
              <w:pStyle w:val="15"/>
              <w:ind w:firstLine="560" w:firstLineChars="200"/>
              <w:jc w:val="left"/>
              <w:rPr>
                <w:rFonts w:ascii="仿宋" w:hAnsi="仿宋" w:cs="仿宋"/>
                <w:szCs w:val="28"/>
              </w:rPr>
            </w:pPr>
            <w:r>
              <w:rPr>
                <w:rFonts w:hint="eastAsia" w:ascii="仿宋" w:hAnsi="仿宋" w:cs="仿宋"/>
                <w:szCs w:val="28"/>
              </w:rPr>
              <w:t>提炼课程中的育人元素，结合科技进步在国家富强、民族复兴中的地位和作用，注重培养学生家国情怀、社会责任、科学精神、职业操守，课程体现知识传授、能力培养与价值塑造的三位一体。</w:t>
            </w:r>
          </w:p>
          <w:p>
            <w:pPr>
              <w:pStyle w:val="15"/>
              <w:ind w:firstLine="560" w:firstLineChars="200"/>
              <w:rPr>
                <w:rFonts w:ascii="仿宋" w:hAnsi="仿宋" w:cs="仿宋"/>
                <w:szCs w:val="28"/>
              </w:rPr>
            </w:pPr>
            <w:r>
              <w:drawing>
                <wp:inline distT="0" distB="0" distL="114300" distR="114300">
                  <wp:extent cx="4559300" cy="21786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559300" cy="2178685"/>
                          </a:xfrm>
                          <a:prstGeom prst="rect">
                            <a:avLst/>
                          </a:prstGeom>
                          <a:noFill/>
                          <a:ln>
                            <a:noFill/>
                          </a:ln>
                        </pic:spPr>
                      </pic:pic>
                    </a:graphicData>
                  </a:graphic>
                </wp:inline>
              </w:drawing>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2、课程内容</w:t>
            </w:r>
          </w:p>
          <w:p>
            <w:pPr>
              <w:pStyle w:val="15"/>
              <w:ind w:firstLine="560" w:firstLineChars="200"/>
              <w:jc w:val="left"/>
              <w:rPr>
                <w:rFonts w:ascii="仿宋" w:hAnsi="仿宋" w:cs="仿宋"/>
                <w:szCs w:val="28"/>
              </w:rPr>
            </w:pPr>
            <w:r>
              <w:rPr>
                <w:rFonts w:hint="eastAsia" w:ascii="仿宋" w:hAnsi="仿宋" w:cs="仿宋"/>
                <w:szCs w:val="28"/>
              </w:rPr>
              <w:t>课程资源按照课岗标准融通原则规划，碎片化、立体化的逻辑组织，成熟多样、交互性强的形式开发，最终实现内涵丰富、共享程度高的目标。</w:t>
            </w:r>
          </w:p>
          <w:p>
            <w:pPr>
              <w:pStyle w:val="22"/>
              <w:adjustRightInd/>
              <w:spacing w:line="240" w:lineRule="auto"/>
              <w:ind w:firstLine="560"/>
              <w:textAlignment w:val="auto"/>
              <w:rPr>
                <w:rFonts w:ascii="仿宋" w:hAnsi="仿宋" w:eastAsia="仿宋" w:cs="仿宋"/>
                <w:sz w:val="28"/>
                <w:szCs w:val="28"/>
              </w:rPr>
            </w:pPr>
            <w:r>
              <w:rPr>
                <w:rFonts w:hint="eastAsia" w:ascii="仿宋" w:hAnsi="仿宋" w:eastAsia="仿宋" w:cs="仿宋"/>
                <w:kern w:val="2"/>
                <w:sz w:val="28"/>
                <w:szCs w:val="28"/>
              </w:rPr>
              <w:t>整个课程以维修电工岗位能力要求为主线分成四大模块，依据标准，重点建设内容围绕课程标准，均有明细知识点，相应的操作视频、教学视频、微课动画，习题测验等，目标明确、具体、量化，学习企业新规范、新技术、新设备、新工艺</w:t>
            </w:r>
            <w:r>
              <w:rPr>
                <w:rFonts w:hint="eastAsia" w:ascii="仿宋" w:hAnsi="仿宋" w:eastAsia="仿宋" w:cs="仿宋"/>
                <w:sz w:val="28"/>
                <w:szCs w:val="28"/>
              </w:rPr>
              <w:t>。为提升学习者的数字素养，在每个模块当中增加虚拟仿真软件辅助教学。</w:t>
            </w:r>
          </w:p>
          <w:p>
            <w:pPr>
              <w:pStyle w:val="22"/>
              <w:adjustRightInd/>
              <w:spacing w:line="240" w:lineRule="auto"/>
              <w:ind w:firstLine="0" w:firstLineChars="0"/>
              <w:jc w:val="center"/>
              <w:textAlignment w:val="auto"/>
              <w:rPr>
                <w:rFonts w:ascii="仿宋" w:hAnsi="仿宋" w:eastAsia="仿宋" w:cs="仿宋"/>
                <w:sz w:val="28"/>
                <w:szCs w:val="28"/>
              </w:rPr>
            </w:pPr>
            <w:r>
              <w:rPr>
                <w:rFonts w:hint="eastAsia" w:ascii="仿宋" w:hAnsi="仿宋" w:eastAsia="仿宋" w:cs="仿宋"/>
                <w:sz w:val="28"/>
                <w:szCs w:val="28"/>
              </w:rPr>
              <w:drawing>
                <wp:inline distT="0" distB="0" distL="114300" distR="114300">
                  <wp:extent cx="4874260" cy="2691130"/>
                  <wp:effectExtent l="0" t="0" r="2540" b="1270"/>
                  <wp:docPr id="2" name="图片 2" descr="维修电工岗位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维修电工岗位课程"/>
                          <pic:cNvPicPr>
                            <a:picLocks noChangeAspect="1"/>
                          </pic:cNvPicPr>
                        </pic:nvPicPr>
                        <pic:blipFill>
                          <a:blip r:embed="rId8"/>
                          <a:stretch>
                            <a:fillRect/>
                          </a:stretch>
                        </pic:blipFill>
                        <pic:spPr>
                          <a:xfrm>
                            <a:off x="0" y="0"/>
                            <a:ext cx="4874260" cy="2691130"/>
                          </a:xfrm>
                          <a:prstGeom prst="rect">
                            <a:avLst/>
                          </a:prstGeom>
                          <a:noFill/>
                          <a:ln>
                            <a:noFill/>
                          </a:ln>
                        </pic:spPr>
                      </pic:pic>
                    </a:graphicData>
                  </a:graphic>
                </wp:inline>
              </w:drawing>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3、课程实施模式</w:t>
            </w:r>
          </w:p>
          <w:p>
            <w:pPr>
              <w:pStyle w:val="22"/>
              <w:adjustRightInd/>
              <w:spacing w:line="240" w:lineRule="auto"/>
              <w:ind w:firstLine="560"/>
              <w:textAlignment w:val="auto"/>
              <w:rPr>
                <w:rFonts w:ascii="仿宋" w:hAnsi="仿宋" w:eastAsia="仿宋" w:cs="仿宋"/>
                <w:sz w:val="28"/>
                <w:szCs w:val="28"/>
              </w:rPr>
            </w:pPr>
            <w:r>
              <w:rPr>
                <w:rFonts w:hint="eastAsia" w:ascii="仿宋" w:hAnsi="仿宋" w:eastAsia="仿宋" w:cs="仿宋"/>
                <w:sz w:val="28"/>
                <w:szCs w:val="28"/>
              </w:rPr>
              <w:t>数字化课程的实施遵循课程实施中教师与学生的活动规律,合理运用现代信息技术等手段，改革传统的教学思想观念、教学方法、教学手段和教学管理，将网络课件、授课录像等上网开放，实现优质教学资源共享，推动课程建设。</w:t>
            </w:r>
          </w:p>
          <w:p>
            <w:pPr>
              <w:jc w:val="center"/>
            </w:pPr>
            <w:r>
              <w:drawing>
                <wp:inline distT="0" distB="0" distL="114300" distR="114300">
                  <wp:extent cx="4309110" cy="3493770"/>
                  <wp:effectExtent l="0" t="0" r="889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309110" cy="3493770"/>
                          </a:xfrm>
                          <a:prstGeom prst="rect">
                            <a:avLst/>
                          </a:prstGeom>
                          <a:noFill/>
                          <a:ln>
                            <a:noFill/>
                          </a:ln>
                        </pic:spPr>
                      </pic:pic>
                    </a:graphicData>
                  </a:graphic>
                </wp:inline>
              </w:drawing>
            </w:r>
          </w:p>
          <w:p>
            <w:pPr>
              <w:pStyle w:val="9"/>
            </w:pPr>
          </w:p>
          <w:p>
            <w:pPr>
              <w:ind w:firstLine="562" w:firstLineChars="200"/>
              <w:rPr>
                <w:rFonts w:ascii="仿宋" w:hAnsi="仿宋" w:eastAsia="仿宋" w:cs="仿宋"/>
                <w:b/>
                <w:bCs/>
                <w:sz w:val="28"/>
                <w:szCs w:val="28"/>
              </w:rPr>
            </w:pPr>
            <w:r>
              <w:rPr>
                <w:rFonts w:hint="eastAsia" w:ascii="仿宋" w:hAnsi="仿宋" w:eastAsia="仿宋" w:cs="仿宋"/>
                <w:b/>
                <w:bCs/>
                <w:sz w:val="28"/>
                <w:szCs w:val="28"/>
              </w:rPr>
              <w:t>4、课程资源库建设</w:t>
            </w:r>
          </w:p>
          <w:p>
            <w:pPr>
              <w:pStyle w:val="15"/>
              <w:ind w:firstLine="560" w:firstLineChars="200"/>
              <w:jc w:val="left"/>
              <w:rPr>
                <w:rFonts w:ascii="仿宋" w:hAnsi="仿宋" w:cs="仿宋"/>
                <w:szCs w:val="28"/>
              </w:rPr>
            </w:pPr>
            <w:r>
              <w:rPr>
                <w:rFonts w:hint="eastAsia" w:ascii="仿宋" w:hAnsi="仿宋" w:cs="仿宋"/>
                <w:szCs w:val="28"/>
              </w:rPr>
              <w:t>持续加强课程拓展资源的建设。课程建设团队会在现有基础上持续加强课程介绍、课程标准、教学日历、教案或演示文稿、重点难点指导、作业、参考资料目录和微课程等教学活动资源的建设及更新。依托行企，面向企业及社会学习者进行课程及相关技能认证，使课程更好的服务企业技术转型升级需要。</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5、预期成果</w:t>
            </w:r>
          </w:p>
          <w:p>
            <w:pPr>
              <w:pStyle w:val="22"/>
              <w:adjustRightInd/>
              <w:spacing w:line="240" w:lineRule="auto"/>
              <w:ind w:firstLine="560"/>
              <w:textAlignment w:val="auto"/>
              <w:rPr>
                <w:rFonts w:ascii="仿宋" w:hAnsi="仿宋" w:eastAsia="仿宋" w:cs="仿宋"/>
                <w:sz w:val="28"/>
                <w:szCs w:val="28"/>
              </w:rPr>
            </w:pPr>
            <w:r>
              <w:rPr>
                <w:rFonts w:hint="eastAsia" w:ascii="仿宋" w:hAnsi="仿宋" w:eastAsia="仿宋" w:cs="仿宋"/>
                <w:sz w:val="28"/>
                <w:szCs w:val="28"/>
              </w:rPr>
              <w:t>1）建设精品课程1门；</w:t>
            </w:r>
          </w:p>
          <w:p>
            <w:pPr>
              <w:pStyle w:val="22"/>
              <w:adjustRightInd/>
              <w:spacing w:line="240" w:lineRule="auto"/>
              <w:ind w:firstLine="560"/>
              <w:textAlignment w:val="auto"/>
              <w:rPr>
                <w:rFonts w:ascii="仿宋" w:hAnsi="仿宋" w:eastAsia="仿宋" w:cs="仿宋"/>
                <w:sz w:val="28"/>
                <w:szCs w:val="28"/>
              </w:rPr>
            </w:pPr>
            <w:r>
              <w:rPr>
                <w:rFonts w:hint="eastAsia" w:ascii="仿宋" w:hAnsi="仿宋" w:eastAsia="仿宋" w:cs="仿宋"/>
                <w:sz w:val="28"/>
                <w:szCs w:val="28"/>
              </w:rPr>
              <w:t>2）数字化课程配套课程标准、教案、PPT、视频资源等不少于10G；</w:t>
            </w:r>
          </w:p>
          <w:p>
            <w:pPr>
              <w:pStyle w:val="22"/>
              <w:adjustRightInd/>
              <w:spacing w:line="240" w:lineRule="auto"/>
              <w:ind w:firstLine="560"/>
              <w:textAlignment w:val="auto"/>
              <w:rPr>
                <w:rFonts w:ascii="仿宋" w:hAnsi="仿宋" w:eastAsia="仿宋" w:cs="仿宋"/>
                <w:sz w:val="28"/>
                <w:szCs w:val="28"/>
              </w:rPr>
            </w:pPr>
            <w:r>
              <w:rPr>
                <w:rFonts w:hint="eastAsia" w:ascii="仿宋" w:hAnsi="仿宋" w:eastAsia="仿宋" w:cs="仿宋"/>
                <w:sz w:val="28"/>
                <w:szCs w:val="28"/>
              </w:rPr>
              <w:t>3）论文2篇；</w:t>
            </w:r>
          </w:p>
          <w:p>
            <w:pPr>
              <w:pStyle w:val="15"/>
              <w:ind w:firstLine="560" w:firstLineChars="200"/>
              <w:jc w:val="left"/>
              <w:rPr>
                <w:rFonts w:ascii="仿宋" w:hAnsi="仿宋" w:cs="仿宋"/>
                <w:szCs w:val="28"/>
              </w:rPr>
            </w:pPr>
            <w:r>
              <w:rPr>
                <w:rFonts w:hint="eastAsia" w:ascii="仿宋" w:hAnsi="仿宋" w:cs="仿宋"/>
                <w:szCs w:val="28"/>
              </w:rPr>
              <w:t>4）科学制定课程的更新计划，每年课程更新内容不少于10%，结合配套教材的应用，拓宽课程资源的服务面向。</w:t>
            </w:r>
          </w:p>
          <w:p>
            <w:pPr>
              <w:rPr>
                <w:rFonts w:ascii="仿宋" w:hAnsi="仿宋" w:eastAsia="仿宋" w:cs="仿宋"/>
                <w:b/>
                <w:bCs/>
                <w:sz w:val="28"/>
                <w:szCs w:val="28"/>
              </w:rPr>
            </w:pPr>
            <w:r>
              <w:rPr>
                <w:rFonts w:hint="eastAsia" w:ascii="仿宋" w:hAnsi="仿宋" w:eastAsia="仿宋" w:cs="仿宋"/>
                <w:b/>
                <w:bCs/>
                <w:sz w:val="28"/>
                <w:szCs w:val="28"/>
              </w:rPr>
              <w:br w:type="page"/>
            </w:r>
          </w:p>
          <w:p>
            <w:pPr>
              <w:pStyle w:val="9"/>
              <w:numPr>
                <w:ilvl w:val="0"/>
                <w:numId w:val="5"/>
              </w:numPr>
              <w:jc w:val="left"/>
              <w:rPr>
                <w:rFonts w:ascii="仿宋" w:hAnsi="仿宋" w:eastAsia="仿宋" w:cs="仿宋"/>
                <w:b/>
                <w:bCs/>
                <w:sz w:val="28"/>
                <w:szCs w:val="28"/>
              </w:rPr>
            </w:pPr>
            <w:r>
              <w:rPr>
                <w:rFonts w:hint="eastAsia" w:ascii="仿宋" w:hAnsi="仿宋" w:eastAsia="仿宋" w:cs="仿宋"/>
                <w:b/>
                <w:bCs/>
                <w:sz w:val="28"/>
                <w:szCs w:val="28"/>
              </w:rPr>
              <w:t>实践研究方法</w:t>
            </w:r>
          </w:p>
          <w:p>
            <w:pPr>
              <w:pStyle w:val="9"/>
              <w:ind w:firstLine="560" w:firstLineChars="200"/>
              <w:jc w:val="left"/>
              <w:rPr>
                <w:rFonts w:ascii="仿宋" w:hAnsi="仿宋" w:eastAsia="仿宋" w:cs="仿宋"/>
                <w:sz w:val="28"/>
                <w:szCs w:val="28"/>
              </w:rPr>
            </w:pPr>
            <w:r>
              <w:rPr>
                <w:rFonts w:ascii="仿宋" w:hAnsi="仿宋" w:eastAsia="仿宋" w:cs="仿宋"/>
                <w:sz w:val="28"/>
                <w:szCs w:val="28"/>
              </w:rPr>
              <w:t>第一阶段，主要采用文献研究和调查研究的方法，通过对比搭建专业数字化升级改造的顶层设计，对课程内容进行整合，将数字化内容融入到课程项目，制定教学进度，实施教学。</w:t>
            </w:r>
          </w:p>
          <w:p>
            <w:pPr>
              <w:pStyle w:val="9"/>
              <w:ind w:firstLine="560" w:firstLineChars="200"/>
              <w:jc w:val="left"/>
              <w:rPr>
                <w:rFonts w:ascii="仿宋" w:hAnsi="仿宋" w:eastAsia="仿宋" w:cs="仿宋"/>
                <w:sz w:val="28"/>
                <w:szCs w:val="28"/>
              </w:rPr>
            </w:pPr>
            <w:r>
              <w:rPr>
                <w:rFonts w:ascii="仿宋" w:hAnsi="仿宋" w:eastAsia="仿宋" w:cs="仿宋"/>
                <w:sz w:val="28"/>
                <w:szCs w:val="28"/>
              </w:rPr>
              <w:t>第二阶段，主要采用案例研究法和行动研究法。案例研究法：通过对相关的资料的学习，找出有针对性的案例，进行内容的筛选和分析，借鉴优秀经验，观摩兄弟院校的相关课程教学过程，总结出案例中数字化教学创新，从中得到启发。行动研究法：从自身的教学出发，采用数字化的教学模式，在专业班级中，开展数字化教学创新模式的探索，制定完善的教学计划和明确的教学项目。同时，还要注重资料的收集</w:t>
            </w:r>
            <w:r>
              <w:rPr>
                <w:rFonts w:hint="eastAsia" w:ascii="仿宋" w:hAnsi="仿宋" w:eastAsia="仿宋" w:cs="仿宋"/>
                <w:sz w:val="28"/>
                <w:szCs w:val="28"/>
              </w:rPr>
              <w:t>、分析和总结</w:t>
            </w:r>
            <w:r>
              <w:rPr>
                <w:rFonts w:ascii="仿宋" w:hAnsi="仿宋" w:eastAsia="仿宋" w:cs="仿宋"/>
                <w:sz w:val="28"/>
                <w:szCs w:val="28"/>
              </w:rPr>
              <w:t>。</w:t>
            </w:r>
          </w:p>
          <w:p>
            <w:pPr>
              <w:pStyle w:val="9"/>
              <w:ind w:firstLine="560" w:firstLineChars="200"/>
              <w:jc w:val="left"/>
              <w:rPr>
                <w:rFonts w:ascii="仿宋" w:hAnsi="仿宋" w:eastAsia="仿宋" w:cs="仿宋"/>
                <w:sz w:val="28"/>
                <w:szCs w:val="28"/>
              </w:rPr>
            </w:pPr>
            <w:r>
              <w:rPr>
                <w:rFonts w:ascii="仿宋" w:hAnsi="仿宋" w:eastAsia="仿宋" w:cs="仿宋"/>
                <w:sz w:val="28"/>
                <w:szCs w:val="28"/>
              </w:rPr>
              <w:t>收集数据：利用数字化工具和平台，如在线调查工具、数据分析工具等，收集与研究问题相关的数据。这些数据可能包括学生的学习行为、成绩、反馈等。</w:t>
            </w:r>
          </w:p>
          <w:p>
            <w:pPr>
              <w:pStyle w:val="9"/>
              <w:ind w:firstLine="560" w:firstLineChars="200"/>
              <w:jc w:val="left"/>
              <w:rPr>
                <w:rFonts w:ascii="仿宋" w:hAnsi="仿宋" w:eastAsia="仿宋" w:cs="仿宋"/>
                <w:sz w:val="28"/>
                <w:szCs w:val="28"/>
              </w:rPr>
            </w:pPr>
            <w:r>
              <w:rPr>
                <w:rFonts w:ascii="仿宋" w:hAnsi="仿宋" w:eastAsia="仿宋" w:cs="仿宋"/>
                <w:sz w:val="28"/>
                <w:szCs w:val="28"/>
              </w:rPr>
              <w:t>数据分析：利用数据分析工具和技术，对收集到的数据进行处理和分析。这可以帮助我们了解学生的学习情况、教学效果等，并找出可能存在的问题和改进点。</w:t>
            </w:r>
          </w:p>
          <w:p>
            <w:pPr>
              <w:pStyle w:val="9"/>
              <w:ind w:firstLine="560" w:firstLineChars="200"/>
              <w:jc w:val="left"/>
              <w:rPr>
                <w:rFonts w:ascii="仿宋" w:hAnsi="仿宋" w:eastAsia="仿宋" w:cs="仿宋"/>
                <w:sz w:val="28"/>
                <w:szCs w:val="28"/>
              </w:rPr>
            </w:pPr>
            <w:r>
              <w:rPr>
                <w:rFonts w:ascii="仿宋" w:hAnsi="仿宋" w:eastAsia="仿宋" w:cs="仿宋"/>
                <w:sz w:val="28"/>
                <w:szCs w:val="28"/>
              </w:rPr>
              <w:t>解释和讨论结果：基于数据分析的结果，对研究问题进行解释和讨论。这可能包括解释现象、验证假设、提出改进建议等。</w:t>
            </w:r>
          </w:p>
          <w:p>
            <w:pPr>
              <w:pStyle w:val="9"/>
              <w:ind w:firstLine="560" w:firstLineChars="200"/>
              <w:jc w:val="left"/>
              <w:rPr>
                <w:rFonts w:ascii="仿宋" w:hAnsi="仿宋" w:eastAsia="仿宋" w:cs="仿宋"/>
                <w:sz w:val="28"/>
                <w:szCs w:val="28"/>
              </w:rPr>
            </w:pPr>
            <w:r>
              <w:rPr>
                <w:rFonts w:ascii="仿宋" w:hAnsi="仿宋" w:eastAsia="仿宋" w:cs="仿宋"/>
                <w:sz w:val="28"/>
                <w:szCs w:val="28"/>
              </w:rPr>
              <w:t>注重实践效果：实践研究的主要目的是推动实践的发展。在研究中，需要关注实践效果，并根据实践效果来完善研究方法和理论。</w:t>
            </w:r>
          </w:p>
          <w:p>
            <w:pPr>
              <w:pStyle w:val="9"/>
              <w:ind w:firstLine="560" w:firstLineChars="200"/>
              <w:jc w:val="left"/>
              <w:rPr>
                <w:rFonts w:ascii="仿宋" w:hAnsi="仿宋" w:eastAsia="仿宋" w:cs="仿宋"/>
                <w:sz w:val="28"/>
                <w:szCs w:val="28"/>
              </w:rPr>
            </w:pPr>
          </w:p>
          <w:p>
            <w:pPr>
              <w:pStyle w:val="9"/>
              <w:numPr>
                <w:ilvl w:val="0"/>
                <w:numId w:val="5"/>
              </w:numPr>
              <w:jc w:val="left"/>
              <w:rPr>
                <w:rFonts w:ascii="仿宋" w:hAnsi="仿宋" w:eastAsia="仿宋" w:cs="仿宋"/>
                <w:b/>
                <w:bCs/>
                <w:sz w:val="28"/>
                <w:szCs w:val="28"/>
              </w:rPr>
            </w:pPr>
            <w:r>
              <w:rPr>
                <w:rFonts w:hint="eastAsia" w:ascii="仿宋" w:hAnsi="仿宋" w:eastAsia="仿宋" w:cs="仿宋"/>
                <w:b/>
                <w:bCs/>
                <w:sz w:val="28"/>
                <w:szCs w:val="28"/>
              </w:rPr>
              <w:t>项目建设具体方案</w:t>
            </w:r>
          </w:p>
          <w:p>
            <w:pPr>
              <w:pStyle w:val="18"/>
              <w:ind w:firstLine="562"/>
              <w:rPr>
                <w:rFonts w:ascii="仿宋" w:hAnsi="仿宋" w:eastAsia="仿宋" w:cs="仿宋"/>
                <w:b/>
                <w:bCs/>
                <w:sz w:val="28"/>
                <w:szCs w:val="28"/>
              </w:rPr>
            </w:pPr>
            <w:r>
              <w:rPr>
                <w:rFonts w:hint="eastAsia" w:ascii="仿宋" w:hAnsi="仿宋" w:eastAsia="仿宋" w:cs="仿宋"/>
                <w:b/>
                <w:bCs/>
                <w:sz w:val="28"/>
                <w:szCs w:val="28"/>
              </w:rPr>
              <w:t>1.建设数字化教学资源库</w:t>
            </w:r>
          </w:p>
          <w:p>
            <w:pPr>
              <w:pStyle w:val="18"/>
              <w:ind w:firstLine="560"/>
              <w:rPr>
                <w:rFonts w:ascii="仿宋" w:hAnsi="仿宋" w:eastAsia="仿宋" w:cs="仿宋"/>
                <w:sz w:val="28"/>
                <w:szCs w:val="28"/>
              </w:rPr>
            </w:pPr>
            <w:r>
              <w:rPr>
                <w:rFonts w:hint="eastAsia" w:ascii="仿宋" w:hAnsi="仿宋" w:eastAsia="仿宋" w:cs="仿宋"/>
                <w:sz w:val="28"/>
                <w:szCs w:val="28"/>
              </w:rPr>
              <w:t>通过自创、购买、整合等方式，建设教学资源库1个。专业课程的教学资源包含课程标准、授课计划、教学设计、教学课件、试题库、案例库、微课、动画、虚拟仿真软件等数字化教学资源。通过专业教学资源库的建设，实现校内开放、校外共享。</w:t>
            </w:r>
          </w:p>
          <w:p>
            <w:pPr>
              <w:pStyle w:val="18"/>
              <w:ind w:firstLine="560"/>
              <w:rPr>
                <w:rFonts w:ascii="仿宋" w:hAnsi="仿宋" w:eastAsia="仿宋" w:cs="仿宋"/>
                <w:sz w:val="28"/>
                <w:szCs w:val="28"/>
              </w:rPr>
            </w:pPr>
            <w:r>
              <w:rPr>
                <w:rFonts w:hint="eastAsia" w:ascii="仿宋" w:hAnsi="仿宋" w:eastAsia="仿宋" w:cs="仿宋"/>
                <w:sz w:val="28"/>
                <w:szCs w:val="28"/>
              </w:rPr>
              <w:t>教学内容上，对接新产业、新业态、新模式、新职业，反映相关领域新技术、新工艺、新规范；教学管理上，通过网络平台，有利于学习者主动性、交互性学习和协作学习，教师利用网络资源进行实践性教学，提高职业能力培养目标。通过建设具备示范引领推广作用的在线精品课程，提升人才培养质量。</w:t>
            </w:r>
          </w:p>
          <w:p>
            <w:pPr>
              <w:pStyle w:val="18"/>
              <w:ind w:firstLine="562"/>
              <w:rPr>
                <w:rFonts w:ascii="仿宋" w:hAnsi="仿宋" w:eastAsia="仿宋" w:cs="仿宋"/>
                <w:b/>
                <w:bCs/>
                <w:sz w:val="28"/>
                <w:szCs w:val="28"/>
              </w:rPr>
            </w:pPr>
            <w:r>
              <w:rPr>
                <w:rFonts w:hint="eastAsia" w:ascii="仿宋" w:hAnsi="仿宋" w:eastAsia="仿宋" w:cs="仿宋"/>
                <w:b/>
                <w:bCs/>
                <w:sz w:val="28"/>
                <w:szCs w:val="28"/>
              </w:rPr>
              <w:t>2.建设数字化课程</w:t>
            </w:r>
          </w:p>
          <w:p>
            <w:pPr>
              <w:pStyle w:val="18"/>
              <w:ind w:firstLine="560"/>
              <w:rPr>
                <w:rFonts w:ascii="仿宋" w:hAnsi="仿宋" w:eastAsia="仿宋" w:cs="仿宋"/>
                <w:sz w:val="28"/>
                <w:szCs w:val="28"/>
              </w:rPr>
            </w:pPr>
            <w:r>
              <w:rPr>
                <w:rFonts w:hint="eastAsia" w:ascii="仿宋" w:hAnsi="仿宋" w:eastAsia="仿宋" w:cs="仿宋"/>
                <w:sz w:val="28"/>
                <w:szCs w:val="28"/>
              </w:rPr>
              <w:t>服务产业数字化转型升级，对接新业态、新模式、新技术、新岗位对新时代技术技能人才的能力需求，按照教育教学规律和人才成长规律，校企合作共同开发“数字化”活页式工单、数字化教材，建设数字化课程。将数字化素养、数字化职业能力纳入专业课程，更新课程标准、教学设计等，搭建线上数字化教学平台1个；每期课程定期开展线上互动，教学资源根据项目进度安排按时更新；每期运用CSMS-课堂教学智慧评价系统进行教学评价2次以上，收集反馈意见，不断提高教学实效，推动教学评价改革；开发职业能力教学案例2个；数字化教材1本。</w:t>
            </w:r>
          </w:p>
          <w:p>
            <w:pPr>
              <w:pStyle w:val="18"/>
              <w:ind w:firstLine="562"/>
              <w:rPr>
                <w:rFonts w:ascii="仿宋" w:hAnsi="仿宋" w:eastAsia="仿宋" w:cs="仿宋"/>
                <w:b/>
                <w:bCs/>
                <w:sz w:val="28"/>
                <w:szCs w:val="28"/>
              </w:rPr>
            </w:pPr>
            <w:r>
              <w:rPr>
                <w:rFonts w:hint="eastAsia" w:ascii="仿宋" w:hAnsi="仿宋" w:eastAsia="仿宋" w:cs="仿宋"/>
                <w:b/>
                <w:bCs/>
                <w:sz w:val="28"/>
                <w:szCs w:val="28"/>
              </w:rPr>
              <w:t>3.提升社会服务能力</w:t>
            </w:r>
          </w:p>
          <w:p>
            <w:pPr>
              <w:pStyle w:val="18"/>
              <w:ind w:firstLine="560" w:firstLineChars="0"/>
              <w:rPr>
                <w:rFonts w:ascii="仿宋" w:hAnsi="仿宋" w:eastAsia="仿宋" w:cs="仿宋"/>
                <w:sz w:val="28"/>
                <w:szCs w:val="28"/>
              </w:rPr>
            </w:pPr>
            <w:r>
              <w:rPr>
                <w:rFonts w:hint="eastAsia" w:ascii="仿宋" w:hAnsi="仿宋" w:eastAsia="仿宋" w:cs="仿宋"/>
                <w:sz w:val="28"/>
                <w:szCs w:val="28"/>
              </w:rPr>
              <w:t>加强数字化技能社会培训，赋能基础从业者数字化水平提升。开设专业培训课程：开设针对基础从业人员的数字技能培训课程1门，每年组织一次技能竞赛以及赛前培训，每年组织一次维修电工中级考证辅导课。</w:t>
            </w:r>
          </w:p>
          <w:p>
            <w:pPr>
              <w:pStyle w:val="9"/>
              <w:jc w:val="both"/>
              <w:rPr>
                <w:rFonts w:ascii="仿宋" w:hAnsi="仿宋" w:eastAsia="仿宋" w:cs="仿宋"/>
                <w:sz w:val="28"/>
                <w:szCs w:val="28"/>
              </w:rPr>
            </w:pPr>
          </w:p>
          <w:p>
            <w:pPr>
              <w:pStyle w:val="9"/>
              <w:rPr>
                <w:rFonts w:ascii="仿宋" w:hAnsi="仿宋" w:eastAsia="仿宋" w:cs="仿宋"/>
                <w:sz w:val="28"/>
                <w:szCs w:val="28"/>
              </w:rPr>
            </w:pPr>
          </w:p>
          <w:p>
            <w:pPr>
              <w:pStyle w:val="9"/>
              <w:rPr>
                <w:rFonts w:ascii="仿宋" w:hAnsi="仿宋" w:eastAsia="仿宋" w:cs="仿宋"/>
                <w:sz w:val="28"/>
                <w:szCs w:val="28"/>
              </w:rPr>
            </w:pPr>
          </w:p>
          <w:p>
            <w:pPr>
              <w:pStyle w:val="9"/>
              <w:rPr>
                <w:rFonts w:ascii="仿宋" w:hAnsi="仿宋" w:eastAsia="仿宋" w:cs="仿宋"/>
                <w:sz w:val="28"/>
                <w:szCs w:val="28"/>
              </w:rPr>
            </w:pPr>
          </w:p>
          <w:p>
            <w:pPr>
              <w:pStyle w:val="9"/>
              <w:rPr>
                <w:rFonts w:ascii="仿宋" w:hAnsi="仿宋" w:eastAsia="仿宋" w:cs="仿宋"/>
                <w:sz w:val="28"/>
                <w:szCs w:val="28"/>
              </w:rPr>
            </w:pPr>
          </w:p>
          <w:p>
            <w:pPr>
              <w:pStyle w:val="15"/>
              <w:spacing w:line="400" w:lineRule="exact"/>
              <w:jc w:val="left"/>
            </w:pPr>
          </w:p>
        </w:tc>
      </w:tr>
    </w:tbl>
    <w:p>
      <w:pPr>
        <w:pStyle w:val="14"/>
        <w:spacing w:line="240" w:lineRule="exact"/>
        <w:ind w:firstLine="0" w:firstLineChars="0"/>
      </w:pPr>
    </w:p>
    <w:p>
      <w:pPr>
        <w:pStyle w:val="14"/>
        <w:ind w:firstLine="0" w:firstLineChars="0"/>
        <w:sectPr>
          <w:pgSz w:w="11906" w:h="16838"/>
          <w:pgMar w:top="2098" w:right="1474" w:bottom="1985" w:left="1588" w:header="851" w:footer="992" w:gutter="0"/>
          <w:cols w:space="720" w:num="1"/>
          <w:docGrid w:linePitch="634" w:charSpace="17788"/>
        </w:sectPr>
      </w:pPr>
    </w:p>
    <w:p>
      <w:pPr>
        <w:pStyle w:val="13"/>
        <w:ind w:firstLine="0" w:firstLineChars="0"/>
      </w:pPr>
      <w:r>
        <w:rPr>
          <w:rFonts w:hint="eastAsia"/>
        </w:rPr>
        <w:t>六、项目创新及推广应用价值</w:t>
      </w:r>
    </w:p>
    <w:tbl>
      <w:tblPr>
        <w:tblStyle w:val="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5" w:hRule="atLeast"/>
          <w:jc w:val="center"/>
        </w:trPr>
        <w:tc>
          <w:tcPr>
            <w:tcW w:w="9233" w:type="dxa"/>
          </w:tcPr>
          <w:p>
            <w:pPr>
              <w:pStyle w:val="15"/>
              <w:spacing w:line="400" w:lineRule="exact"/>
              <w:jc w:val="left"/>
            </w:pPr>
          </w:p>
          <w:p>
            <w:pPr>
              <w:pStyle w:val="15"/>
              <w:numPr>
                <w:ilvl w:val="0"/>
                <w:numId w:val="6"/>
              </w:numPr>
              <w:spacing w:line="400" w:lineRule="exact"/>
              <w:ind w:firstLine="560" w:firstLineChars="200"/>
              <w:jc w:val="left"/>
            </w:pPr>
            <w:r>
              <w:rPr>
                <w:rFonts w:hint="eastAsia"/>
              </w:rPr>
              <w:t>产教深度融合</w:t>
            </w:r>
          </w:p>
          <w:p>
            <w:pPr>
              <w:pStyle w:val="15"/>
              <w:spacing w:line="400" w:lineRule="exact"/>
              <w:ind w:firstLine="560" w:firstLineChars="200"/>
              <w:jc w:val="left"/>
            </w:pPr>
            <w:r>
              <w:rPr>
                <w:rFonts w:hint="eastAsia"/>
              </w:rPr>
              <w:t>由于当前企业转型升级迅速，在发展过程中越来越重视企业员工的数字素养。为适应企业的发展，提升工作品质和工作效率。面对这个新业态，通过校企共建维修电工岗位数字化课程，缩小学习者的工程实践与应用能力与企业的需求的差距，解决维修电工人才培养与地方产业需求不吻合的矛盾，实施产教深度融合，实现教育链、人才链与产业链、创新链的融合。</w:t>
            </w:r>
          </w:p>
          <w:p>
            <w:pPr>
              <w:pStyle w:val="15"/>
              <w:numPr>
                <w:ilvl w:val="0"/>
                <w:numId w:val="6"/>
              </w:numPr>
              <w:spacing w:line="400" w:lineRule="exact"/>
              <w:ind w:firstLine="560" w:firstLineChars="200"/>
              <w:jc w:val="left"/>
            </w:pPr>
            <w:r>
              <w:rPr>
                <w:rFonts w:hint="eastAsia"/>
              </w:rPr>
              <w:t>能力对标企业，知识辅助升学</w:t>
            </w:r>
          </w:p>
          <w:p>
            <w:pPr>
              <w:pStyle w:val="15"/>
              <w:spacing w:line="400" w:lineRule="exact"/>
              <w:ind w:firstLine="560" w:firstLineChars="200"/>
              <w:jc w:val="left"/>
            </w:pPr>
            <w:r>
              <w:rPr>
                <w:rFonts w:hint="eastAsia"/>
              </w:rPr>
              <w:t>传统课程分为四大课程，分别是机床排故、电子焊接、电力拖动、PLC技术。本项目通过建设数字化课程，根据岗位需求，对课程内容进行重构，明确目标定位，找准技能点，匹配实际需求，提高学习者的岗位职业能力与数字素养；同时完善技能知识体系，改善知识体系之间的层次性和逻辑性，让学习者的理论知识更扎实，为高职升学打下坚实基础。</w:t>
            </w:r>
          </w:p>
          <w:p>
            <w:pPr>
              <w:pStyle w:val="15"/>
              <w:numPr>
                <w:ilvl w:val="0"/>
                <w:numId w:val="6"/>
              </w:numPr>
              <w:spacing w:line="400" w:lineRule="exact"/>
              <w:ind w:firstLine="560" w:firstLineChars="200"/>
              <w:jc w:val="left"/>
            </w:pPr>
            <w:r>
              <w:rPr>
                <w:rFonts w:hint="eastAsia"/>
              </w:rPr>
              <w:t>课程数字化，改善传统教学策略</w:t>
            </w:r>
          </w:p>
          <w:p>
            <w:pPr>
              <w:pStyle w:val="15"/>
              <w:spacing w:line="400" w:lineRule="exact"/>
              <w:ind w:firstLine="560" w:firstLineChars="200"/>
              <w:jc w:val="left"/>
            </w:pPr>
            <w:r>
              <w:rPr>
                <w:rFonts w:hint="eastAsia"/>
              </w:rPr>
              <w:t>通过剖析教学内容，运用现代信息技术等手段，改革传统的教学思想观念、教学方法、教学手段和教学管理，将网络课件、授课录像等上网开放，实现优质教学资源共享，推动课程建设。</w:t>
            </w:r>
          </w:p>
        </w:tc>
      </w:tr>
    </w:tbl>
    <w:p>
      <w:pPr>
        <w:pStyle w:val="14"/>
        <w:spacing w:line="240" w:lineRule="exact"/>
        <w:ind w:firstLine="0" w:firstLineChars="0"/>
      </w:pPr>
    </w:p>
    <w:p>
      <w:pPr>
        <w:pStyle w:val="14"/>
        <w:ind w:firstLine="0" w:firstLineChars="0"/>
        <w:sectPr>
          <w:pgSz w:w="11906" w:h="16838"/>
          <w:pgMar w:top="2098" w:right="1474" w:bottom="1985" w:left="1588" w:header="851" w:footer="992" w:gutter="0"/>
          <w:cols w:space="720" w:num="1"/>
          <w:docGrid w:linePitch="634" w:charSpace="17788"/>
        </w:sectPr>
      </w:pPr>
    </w:p>
    <w:p>
      <w:pPr>
        <w:pStyle w:val="13"/>
        <w:ind w:firstLine="0" w:firstLineChars="0"/>
      </w:pPr>
      <w:r>
        <w:rPr>
          <w:rFonts w:hint="eastAsia"/>
        </w:rPr>
        <w:t>七、项目建设进度安排</w:t>
      </w:r>
    </w:p>
    <w:tbl>
      <w:tblPr>
        <w:tblStyle w:val="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5" w:hRule="atLeast"/>
          <w:jc w:val="center"/>
        </w:trPr>
        <w:tc>
          <w:tcPr>
            <w:tcW w:w="9233" w:type="dxa"/>
          </w:tcPr>
          <w:p>
            <w:pPr>
              <w:pStyle w:val="13"/>
              <w:spacing w:line="240" w:lineRule="auto"/>
              <w:ind w:firstLine="560"/>
              <w:rPr>
                <w:rFonts w:ascii="仿宋" w:hAnsi="仿宋" w:eastAsia="仿宋" w:cs="仿宋"/>
                <w:sz w:val="28"/>
                <w:szCs w:val="28"/>
              </w:rPr>
            </w:pPr>
          </w:p>
          <w:p>
            <w:pPr>
              <w:pStyle w:val="13"/>
              <w:spacing w:line="240" w:lineRule="auto"/>
              <w:ind w:firstLine="560"/>
              <w:rPr>
                <w:rFonts w:ascii="仿宋" w:hAnsi="仿宋" w:eastAsia="仿宋" w:cs="仿宋"/>
                <w:sz w:val="28"/>
                <w:szCs w:val="28"/>
              </w:rPr>
            </w:pPr>
            <w:r>
              <w:rPr>
                <w:rFonts w:hint="eastAsia" w:ascii="仿宋" w:hAnsi="仿宋" w:eastAsia="仿宋" w:cs="仿宋"/>
                <w:sz w:val="28"/>
                <w:szCs w:val="28"/>
              </w:rPr>
              <w:t>项目建设步骤及时间进度安排：</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4302"/>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Align w:val="center"/>
                </w:tcPr>
                <w:p>
                  <w:pPr>
                    <w:pStyle w:val="15"/>
                    <w:rPr>
                      <w:rFonts w:ascii="仿宋" w:hAnsi="仿宋" w:cs="仿宋"/>
                      <w:b/>
                      <w:bCs/>
                      <w:szCs w:val="28"/>
                    </w:rPr>
                  </w:pPr>
                  <w:r>
                    <w:rPr>
                      <w:rFonts w:hint="eastAsia" w:ascii="仿宋" w:hAnsi="仿宋" w:cs="仿宋"/>
                      <w:b/>
                      <w:bCs/>
                      <w:szCs w:val="28"/>
                    </w:rPr>
                    <w:t>建设时间</w:t>
                  </w:r>
                </w:p>
              </w:tc>
              <w:tc>
                <w:tcPr>
                  <w:tcW w:w="4302" w:type="dxa"/>
                  <w:vAlign w:val="center"/>
                </w:tcPr>
                <w:p>
                  <w:pPr>
                    <w:pStyle w:val="15"/>
                    <w:rPr>
                      <w:rFonts w:ascii="仿宋" w:hAnsi="仿宋" w:cs="仿宋"/>
                      <w:b/>
                      <w:bCs/>
                      <w:szCs w:val="28"/>
                    </w:rPr>
                  </w:pPr>
                  <w:r>
                    <w:rPr>
                      <w:rFonts w:hint="eastAsia" w:ascii="仿宋" w:hAnsi="仿宋" w:cs="仿宋"/>
                      <w:b/>
                      <w:bCs/>
                      <w:szCs w:val="28"/>
                    </w:rPr>
                    <w:t>建设任务</w:t>
                  </w:r>
                </w:p>
              </w:tc>
              <w:tc>
                <w:tcPr>
                  <w:tcW w:w="3003" w:type="dxa"/>
                  <w:vAlign w:val="center"/>
                </w:tcPr>
                <w:p>
                  <w:pPr>
                    <w:pStyle w:val="15"/>
                    <w:rPr>
                      <w:rFonts w:ascii="仿宋" w:hAnsi="仿宋" w:cs="仿宋"/>
                      <w:b/>
                      <w:bCs/>
                      <w:szCs w:val="28"/>
                    </w:rPr>
                  </w:pPr>
                  <w:r>
                    <w:rPr>
                      <w:rFonts w:hint="eastAsia" w:ascii="仿宋" w:hAnsi="仿宋" w:cs="仿宋"/>
                      <w:b/>
                      <w:bCs/>
                      <w:szCs w:val="28"/>
                    </w:rPr>
                    <w:t>素材更新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jc w:val="center"/>
              </w:trPr>
              <w:tc>
                <w:tcPr>
                  <w:tcW w:w="1702" w:type="dxa"/>
                  <w:vAlign w:val="center"/>
                </w:tcPr>
                <w:p>
                  <w:pPr>
                    <w:pStyle w:val="15"/>
                    <w:rPr>
                      <w:rFonts w:ascii="仿宋" w:hAnsi="仿宋" w:cs="仿宋"/>
                      <w:szCs w:val="28"/>
                    </w:rPr>
                  </w:pPr>
                  <w:r>
                    <w:rPr>
                      <w:rFonts w:hint="eastAsia" w:ascii="仿宋" w:hAnsi="仿宋" w:cs="仿宋"/>
                      <w:szCs w:val="28"/>
                    </w:rPr>
                    <w:t>2025年度</w:t>
                  </w:r>
                </w:p>
              </w:tc>
              <w:tc>
                <w:tcPr>
                  <w:tcW w:w="4302" w:type="dxa"/>
                  <w:vAlign w:val="center"/>
                </w:tcPr>
                <w:p>
                  <w:pPr>
                    <w:pStyle w:val="15"/>
                    <w:jc w:val="left"/>
                    <w:rPr>
                      <w:rFonts w:ascii="仿宋" w:hAnsi="仿宋" w:cs="仿宋"/>
                      <w:szCs w:val="28"/>
                    </w:rPr>
                  </w:pPr>
                  <w:r>
                    <w:rPr>
                      <w:rFonts w:hint="eastAsia" w:ascii="仿宋" w:hAnsi="仿宋" w:cs="仿宋"/>
                      <w:szCs w:val="28"/>
                    </w:rPr>
                    <w:t>具体任务包括：优化课程介绍、课程标准、教学日历、教案、课件、重点难点指导、作业、参考资料和微课程(10个以上)。</w:t>
                  </w:r>
                </w:p>
              </w:tc>
              <w:tc>
                <w:tcPr>
                  <w:tcW w:w="3003" w:type="dxa"/>
                  <w:vAlign w:val="center"/>
                </w:tcPr>
                <w:p>
                  <w:pPr>
                    <w:pStyle w:val="15"/>
                    <w:jc w:val="left"/>
                    <w:rPr>
                      <w:rFonts w:ascii="仿宋" w:hAnsi="仿宋" w:cs="仿宋"/>
                      <w:szCs w:val="28"/>
                    </w:rPr>
                  </w:pPr>
                </w:p>
                <w:p>
                  <w:pPr>
                    <w:pStyle w:val="15"/>
                    <w:jc w:val="left"/>
                    <w:rPr>
                      <w:rFonts w:ascii="仿宋" w:hAnsi="仿宋" w:cs="仿宋"/>
                      <w:szCs w:val="28"/>
                    </w:rPr>
                  </w:pPr>
                  <w:r>
                    <w:rPr>
                      <w:rFonts w:hint="eastAsia" w:ascii="仿宋" w:hAnsi="仿宋" w:cs="仿宋"/>
                      <w:szCs w:val="28"/>
                    </w:rPr>
                    <w:t>上传不少于30%的课程资源，开设两期在线学习。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1702" w:type="dxa"/>
                  <w:vAlign w:val="center"/>
                </w:tcPr>
                <w:p>
                  <w:pPr>
                    <w:pStyle w:val="15"/>
                    <w:rPr>
                      <w:rFonts w:ascii="仿宋" w:hAnsi="仿宋" w:cs="仿宋"/>
                      <w:szCs w:val="28"/>
                    </w:rPr>
                  </w:pPr>
                  <w:r>
                    <w:rPr>
                      <w:rFonts w:hint="eastAsia" w:ascii="仿宋" w:hAnsi="仿宋" w:cs="仿宋"/>
                      <w:szCs w:val="28"/>
                    </w:rPr>
                    <w:t>2026年度</w:t>
                  </w:r>
                </w:p>
              </w:tc>
              <w:tc>
                <w:tcPr>
                  <w:tcW w:w="4302" w:type="dxa"/>
                  <w:vAlign w:val="center"/>
                </w:tcPr>
                <w:p>
                  <w:pPr>
                    <w:pStyle w:val="15"/>
                    <w:jc w:val="left"/>
                    <w:rPr>
                      <w:rFonts w:ascii="仿宋" w:hAnsi="仿宋" w:cs="仿宋"/>
                      <w:szCs w:val="28"/>
                    </w:rPr>
                  </w:pPr>
                  <w:r>
                    <w:rPr>
                      <w:rFonts w:hint="eastAsia" w:ascii="仿宋" w:hAnsi="仿宋" w:cs="仿宋"/>
                      <w:szCs w:val="28"/>
                    </w:rPr>
                    <w:t>40个以上的微课程，具体完成典型教学案例20个、1套文本类素材资源、1套视频类素材。</w:t>
                  </w:r>
                </w:p>
              </w:tc>
              <w:tc>
                <w:tcPr>
                  <w:tcW w:w="3003" w:type="dxa"/>
                  <w:vAlign w:val="center"/>
                </w:tcPr>
                <w:p>
                  <w:pPr>
                    <w:pStyle w:val="15"/>
                    <w:jc w:val="left"/>
                    <w:rPr>
                      <w:rFonts w:ascii="仿宋" w:hAnsi="仿宋" w:cs="仿宋"/>
                      <w:szCs w:val="28"/>
                    </w:rPr>
                  </w:pPr>
                  <w:r>
                    <w:rPr>
                      <w:rFonts w:hint="eastAsia" w:ascii="仿宋" w:hAnsi="仿宋" w:cs="仿宋"/>
                      <w:szCs w:val="28"/>
                    </w:rPr>
                    <w:t>上传不少于70%的课程资类素材，开设两期在线学习，完成技能等级认证试题库。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1702" w:type="dxa"/>
                  <w:vAlign w:val="center"/>
                </w:tcPr>
                <w:p>
                  <w:pPr>
                    <w:pStyle w:val="15"/>
                    <w:rPr>
                      <w:rFonts w:ascii="仿宋" w:hAnsi="仿宋" w:cs="仿宋"/>
                      <w:szCs w:val="28"/>
                    </w:rPr>
                  </w:pPr>
                  <w:r>
                    <w:rPr>
                      <w:rFonts w:hint="eastAsia" w:ascii="仿宋" w:hAnsi="仿宋" w:cs="仿宋"/>
                      <w:szCs w:val="28"/>
                    </w:rPr>
                    <w:t>项目验收后</w:t>
                  </w:r>
                </w:p>
              </w:tc>
              <w:tc>
                <w:tcPr>
                  <w:tcW w:w="4302" w:type="dxa"/>
                  <w:vAlign w:val="center"/>
                </w:tcPr>
                <w:p>
                  <w:pPr>
                    <w:pStyle w:val="15"/>
                    <w:jc w:val="left"/>
                    <w:rPr>
                      <w:rFonts w:ascii="仿宋" w:hAnsi="仿宋" w:cs="仿宋"/>
                      <w:szCs w:val="28"/>
                    </w:rPr>
                  </w:pPr>
                  <w:r>
                    <w:rPr>
                      <w:rFonts w:hint="eastAsia" w:ascii="仿宋" w:hAnsi="仿宋" w:cs="仿宋"/>
                      <w:szCs w:val="28"/>
                    </w:rPr>
                    <w:t>持续更新课程教学视频等，实现共享，每年新增和更新不少于10%的教学资源。</w:t>
                  </w:r>
                </w:p>
              </w:tc>
              <w:tc>
                <w:tcPr>
                  <w:tcW w:w="3003" w:type="dxa"/>
                  <w:vAlign w:val="center"/>
                </w:tcPr>
                <w:p>
                  <w:pPr>
                    <w:pStyle w:val="15"/>
                    <w:jc w:val="left"/>
                    <w:rPr>
                      <w:rFonts w:ascii="仿宋" w:hAnsi="仿宋" w:cs="仿宋"/>
                      <w:szCs w:val="28"/>
                    </w:rPr>
                  </w:pPr>
                  <w:r>
                    <w:rPr>
                      <w:rFonts w:hint="eastAsia" w:ascii="仿宋" w:hAnsi="仿宋" w:cs="仿宋"/>
                      <w:szCs w:val="28"/>
                    </w:rPr>
                    <w:t>依托网络学习平台，开设面向社会的在线服务。</w:t>
                  </w:r>
                </w:p>
              </w:tc>
            </w:tr>
          </w:tbl>
          <w:p>
            <w:pPr>
              <w:pStyle w:val="15"/>
              <w:spacing w:line="400" w:lineRule="exact"/>
              <w:jc w:val="left"/>
            </w:pPr>
          </w:p>
        </w:tc>
      </w:tr>
    </w:tbl>
    <w:p>
      <w:pPr>
        <w:pStyle w:val="14"/>
        <w:spacing w:line="240" w:lineRule="exact"/>
        <w:ind w:firstLine="0" w:firstLineChars="0"/>
      </w:pPr>
    </w:p>
    <w:p>
      <w:pPr>
        <w:pStyle w:val="14"/>
        <w:ind w:firstLine="0" w:firstLineChars="0"/>
        <w:sectPr>
          <w:pgSz w:w="11906" w:h="16838"/>
          <w:pgMar w:top="2098" w:right="1474" w:bottom="1985" w:left="1588" w:header="851" w:footer="992" w:gutter="0"/>
          <w:cols w:space="720" w:num="1"/>
          <w:docGrid w:linePitch="634" w:charSpace="17788"/>
        </w:sectPr>
      </w:pPr>
    </w:p>
    <w:p>
      <w:pPr>
        <w:pStyle w:val="13"/>
        <w:ind w:firstLine="0" w:firstLineChars="0"/>
      </w:pPr>
      <w:r>
        <w:rPr>
          <w:rFonts w:hint="eastAsia"/>
        </w:rPr>
        <w:t>八、建设单位保障机制</w:t>
      </w:r>
    </w:p>
    <w:tbl>
      <w:tblPr>
        <w:tblStyle w:val="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5" w:hRule="atLeast"/>
          <w:jc w:val="center"/>
        </w:trPr>
        <w:tc>
          <w:tcPr>
            <w:tcW w:w="9233" w:type="dxa"/>
          </w:tcPr>
          <w:p>
            <w:pPr>
              <w:pStyle w:val="15"/>
              <w:spacing w:line="400" w:lineRule="exact"/>
              <w:jc w:val="left"/>
            </w:pPr>
          </w:p>
          <w:p>
            <w:pPr>
              <w:pStyle w:val="15"/>
              <w:spacing w:line="400" w:lineRule="exact"/>
              <w:jc w:val="left"/>
            </w:pPr>
            <w:r>
              <w:rPr>
                <w:rFonts w:hint="eastAsia"/>
              </w:rPr>
              <w:t>为确保建设项目的顺利实施，我们制定了以下保障机制：</w:t>
            </w:r>
          </w:p>
          <w:p>
            <w:pPr>
              <w:pStyle w:val="15"/>
              <w:spacing w:line="400" w:lineRule="exact"/>
              <w:jc w:val="left"/>
            </w:pPr>
            <w:r>
              <w:rPr>
                <w:rFonts w:hint="eastAsia"/>
              </w:rPr>
              <w:t>1.组织保障：成立由学校领导、专业负责人、企业代表共同组成的项目领导小组，负责项目的整体规划和监督执行。</w:t>
            </w:r>
          </w:p>
          <w:p>
            <w:pPr>
              <w:pStyle w:val="15"/>
              <w:spacing w:line="400" w:lineRule="exact"/>
              <w:jc w:val="left"/>
            </w:pPr>
            <w:r>
              <w:rPr>
                <w:rFonts w:hint="eastAsia"/>
              </w:rPr>
              <w:t>2.资金保障：根据《佛山市华材职业技术学校建设项目经费管理实施细则》，所有经费支出受本校及区教育局区财政部门的监督。保障专项资金使用公开、透明。</w:t>
            </w:r>
          </w:p>
          <w:p>
            <w:pPr>
              <w:pStyle w:val="15"/>
              <w:spacing w:line="400" w:lineRule="exact"/>
              <w:jc w:val="left"/>
            </w:pPr>
            <w:r>
              <w:rPr>
                <w:rFonts w:hint="eastAsia"/>
              </w:rPr>
              <w:t>3.制度保障：根据《佛山市华材职业技术学校建设项目实施管理办法》，包括项目 建设的操作、交流、奖励、监督等，按计划、按步骤推进实施，力出成果，按期验收，保障建设任务如期完成。</w:t>
            </w:r>
          </w:p>
          <w:p>
            <w:pPr>
              <w:pStyle w:val="15"/>
              <w:spacing w:line="400" w:lineRule="exact"/>
              <w:jc w:val="left"/>
            </w:pPr>
            <w:r>
              <w:rPr>
                <w:rFonts w:hint="eastAsia"/>
              </w:rPr>
              <w:t>4.人才保障：加强师资队伍建设，通过培训等形式，提高项目组成员的技术技能水平及数字化素养，为项目的实施提供人才支持。</w:t>
            </w:r>
          </w:p>
          <w:p>
            <w:pPr>
              <w:pStyle w:val="15"/>
              <w:spacing w:line="400" w:lineRule="exact"/>
              <w:jc w:val="left"/>
            </w:pPr>
          </w:p>
        </w:tc>
      </w:tr>
    </w:tbl>
    <w:p>
      <w:pPr>
        <w:pStyle w:val="14"/>
        <w:spacing w:line="240" w:lineRule="exact"/>
        <w:ind w:firstLine="0" w:firstLineChars="0"/>
      </w:pPr>
    </w:p>
    <w:p>
      <w:pPr>
        <w:pStyle w:val="14"/>
        <w:ind w:firstLine="0" w:firstLineChars="0"/>
        <w:sectPr>
          <w:pgSz w:w="11906" w:h="16838"/>
          <w:pgMar w:top="2098" w:right="1474" w:bottom="1985" w:left="1588" w:header="851" w:footer="992" w:gutter="0"/>
          <w:cols w:space="720" w:num="1"/>
          <w:docGrid w:linePitch="634" w:charSpace="17788"/>
        </w:sectPr>
      </w:pPr>
    </w:p>
    <w:p>
      <w:pPr>
        <w:pStyle w:val="13"/>
        <w:ind w:firstLine="0" w:firstLineChars="0"/>
      </w:pPr>
      <w:r>
        <w:rPr>
          <w:rFonts w:hint="eastAsia"/>
        </w:rPr>
        <w:t>九、经费筹措及预算安排</w:t>
      </w:r>
    </w:p>
    <w:tbl>
      <w:tblPr>
        <w:tblStyle w:val="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5" w:hRule="atLeast"/>
          <w:jc w:val="center"/>
        </w:trPr>
        <w:tc>
          <w:tcPr>
            <w:tcW w:w="9233" w:type="dxa"/>
          </w:tcPr>
          <w:p>
            <w:pPr>
              <w:adjustRightInd w:val="0"/>
              <w:snapToGrid w:val="0"/>
              <w:spacing w:line="320" w:lineRule="exact"/>
              <w:jc w:val="center"/>
              <w:rPr>
                <w:rFonts w:ascii="仿宋" w:hAnsi="仿宋" w:eastAsia="仿宋" w:cs="仿宋"/>
                <w:b/>
                <w:bCs/>
                <w:color w:val="000000"/>
                <w:sz w:val="28"/>
                <w:szCs w:val="28"/>
              </w:rPr>
            </w:pPr>
          </w:p>
          <w:tbl>
            <w:tblPr>
              <w:tblStyle w:val="6"/>
              <w:tblW w:w="45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212"/>
              <w:gridCol w:w="1939"/>
              <w:gridCol w:w="1837"/>
              <w:gridCol w:w="1359"/>
              <w:gridCol w:w="9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77" w:hRule="atLeast"/>
                <w:jc w:val="center"/>
              </w:trPr>
              <w:tc>
                <w:tcPr>
                  <w:tcW w:w="5000" w:type="pct"/>
                  <w:gridSpan w:val="5"/>
                  <w:tcMar>
                    <w:top w:w="15" w:type="dxa"/>
                    <w:left w:w="15" w:type="dxa"/>
                    <w:bottom w:w="0" w:type="dxa"/>
                    <w:right w:w="15" w:type="dxa"/>
                  </w:tcMar>
                  <w:vAlign w:val="center"/>
                </w:tcPr>
                <w:p>
                  <w:pPr>
                    <w:adjustRightInd w:val="0"/>
                    <w:snapToGrid w:val="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项目资金投入预算表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77" w:hRule="atLeast"/>
                <w:jc w:val="center"/>
              </w:trPr>
              <w:tc>
                <w:tcPr>
                  <w:tcW w:w="1337" w:type="pct"/>
                  <w:vMerge w:val="restart"/>
                  <w:tcMar>
                    <w:top w:w="15" w:type="dxa"/>
                    <w:left w:w="15" w:type="dxa"/>
                    <w:bottom w:w="0" w:type="dxa"/>
                    <w:right w:w="15" w:type="dxa"/>
                  </w:tcMar>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建设任务</w:t>
                  </w:r>
                </w:p>
              </w:tc>
              <w:tc>
                <w:tcPr>
                  <w:tcW w:w="3662" w:type="pct"/>
                  <w:gridSpan w:val="4"/>
                  <w:tcMar>
                    <w:top w:w="15" w:type="dxa"/>
                    <w:left w:w="15" w:type="dxa"/>
                    <w:bottom w:w="0" w:type="dxa"/>
                    <w:right w:w="15" w:type="dxa"/>
                  </w:tcMar>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资金预算及来源（万元）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77" w:hRule="atLeast"/>
                <w:jc w:val="center"/>
              </w:trPr>
              <w:tc>
                <w:tcPr>
                  <w:tcW w:w="1337" w:type="pct"/>
                  <w:vMerge w:val="continue"/>
                  <w:vAlign w:val="center"/>
                </w:tcPr>
                <w:p>
                  <w:pPr>
                    <w:adjustRightInd w:val="0"/>
                    <w:snapToGrid w:val="0"/>
                    <w:rPr>
                      <w:rFonts w:ascii="仿宋" w:hAnsi="仿宋" w:eastAsia="仿宋" w:cs="仿宋"/>
                      <w:bCs/>
                      <w:color w:val="000000"/>
                      <w:sz w:val="28"/>
                      <w:szCs w:val="28"/>
                    </w:rPr>
                  </w:pPr>
                </w:p>
              </w:tc>
              <w:tc>
                <w:tcPr>
                  <w:tcW w:w="3103" w:type="pct"/>
                  <w:gridSpan w:val="3"/>
                  <w:tcMar>
                    <w:top w:w="15" w:type="dxa"/>
                    <w:left w:w="15" w:type="dxa"/>
                    <w:bottom w:w="0" w:type="dxa"/>
                    <w:right w:w="15" w:type="dxa"/>
                  </w:tcMar>
                  <w:vAlign w:val="center"/>
                </w:tcPr>
                <w:p>
                  <w:pPr>
                    <w:adjustRightInd w:val="0"/>
                    <w:snapToGrid w:val="0"/>
                    <w:ind w:left="83"/>
                    <w:jc w:val="center"/>
                    <w:rPr>
                      <w:rFonts w:ascii="仿宋" w:hAnsi="仿宋" w:eastAsia="仿宋" w:cs="仿宋"/>
                      <w:bCs/>
                      <w:color w:val="000000"/>
                      <w:sz w:val="28"/>
                      <w:szCs w:val="28"/>
                    </w:rPr>
                  </w:pPr>
                  <w:r>
                    <w:rPr>
                      <w:rFonts w:hint="eastAsia" w:ascii="仿宋" w:hAnsi="仿宋" w:eastAsia="仿宋" w:cs="仿宋"/>
                      <w:bCs/>
                      <w:color w:val="000000"/>
                      <w:sz w:val="28"/>
                      <w:szCs w:val="28"/>
                    </w:rPr>
                    <w:t>学校自筹</w:t>
                  </w:r>
                </w:p>
              </w:tc>
              <w:tc>
                <w:tcPr>
                  <w:tcW w:w="558" w:type="pct"/>
                  <w:vMerge w:val="restart"/>
                  <w:vAlign w:val="center"/>
                </w:tcPr>
                <w:p>
                  <w:pPr>
                    <w:adjustRightInd w:val="0"/>
                    <w:snapToGrid w:val="0"/>
                    <w:jc w:val="center"/>
                    <w:rPr>
                      <w:rFonts w:ascii="仿宋" w:hAnsi="仿宋" w:eastAsia="仿宋" w:cs="仿宋"/>
                      <w:bCs/>
                      <w:color w:val="000000"/>
                      <w:sz w:val="28"/>
                      <w:szCs w:val="28"/>
                    </w:rPr>
                  </w:pPr>
                  <w:r>
                    <w:rPr>
                      <w:rFonts w:hint="eastAsia" w:ascii="仿宋" w:hAnsi="仿宋" w:eastAsia="仿宋" w:cs="仿宋"/>
                      <w:bCs/>
                      <w:color w:val="000000"/>
                      <w:sz w:val="28"/>
                      <w:szCs w:val="28"/>
                    </w:rPr>
                    <w:t>合计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06" w:hRule="atLeast"/>
                <w:jc w:val="center"/>
              </w:trPr>
              <w:tc>
                <w:tcPr>
                  <w:tcW w:w="1337" w:type="pct"/>
                  <w:vMerge w:val="continue"/>
                  <w:vAlign w:val="center"/>
                </w:tcPr>
                <w:p>
                  <w:pPr>
                    <w:adjustRightInd w:val="0"/>
                    <w:snapToGrid w:val="0"/>
                    <w:rPr>
                      <w:rFonts w:ascii="仿宋" w:hAnsi="仿宋" w:eastAsia="仿宋" w:cs="仿宋"/>
                      <w:bCs/>
                      <w:color w:val="000000"/>
                      <w:sz w:val="28"/>
                      <w:szCs w:val="28"/>
                    </w:rPr>
                  </w:pPr>
                </w:p>
              </w:tc>
              <w:tc>
                <w:tcPr>
                  <w:tcW w:w="1172" w:type="pct"/>
                  <w:vAlign w:val="center"/>
                </w:tcPr>
                <w:p>
                  <w:pPr>
                    <w:adjustRightInd w:val="0"/>
                    <w:snapToGrid w:val="0"/>
                    <w:jc w:val="center"/>
                    <w:rPr>
                      <w:rFonts w:ascii="仿宋" w:hAnsi="仿宋" w:eastAsia="仿宋" w:cs="仿宋"/>
                      <w:color w:val="000000"/>
                      <w:sz w:val="28"/>
                      <w:szCs w:val="28"/>
                    </w:rPr>
                  </w:pPr>
                  <w:r>
                    <w:rPr>
                      <w:rFonts w:hint="eastAsia" w:ascii="仿宋" w:hAnsi="仿宋" w:eastAsia="仿宋" w:cs="仿宋"/>
                      <w:color w:val="000000"/>
                      <w:sz w:val="28"/>
                      <w:szCs w:val="28"/>
                    </w:rPr>
                    <w:t>2025</w:t>
                  </w:r>
                </w:p>
                <w:p>
                  <w:pPr>
                    <w:adjustRightInd w:val="0"/>
                    <w:snapToGrid w:val="0"/>
                    <w:jc w:val="center"/>
                    <w:rPr>
                      <w:rFonts w:ascii="仿宋" w:hAnsi="仿宋" w:eastAsia="仿宋" w:cs="仿宋"/>
                      <w:color w:val="000000"/>
                      <w:sz w:val="28"/>
                      <w:szCs w:val="28"/>
                    </w:rPr>
                  </w:pPr>
                  <w:r>
                    <w:rPr>
                      <w:rFonts w:hint="eastAsia" w:ascii="仿宋" w:hAnsi="仿宋" w:eastAsia="仿宋" w:cs="仿宋"/>
                      <w:color w:val="000000"/>
                      <w:sz w:val="28"/>
                      <w:szCs w:val="28"/>
                    </w:rPr>
                    <w:t>年度</w:t>
                  </w:r>
                </w:p>
              </w:tc>
              <w:tc>
                <w:tcPr>
                  <w:tcW w:w="1110" w:type="pct"/>
                  <w:vAlign w:val="center"/>
                </w:tcPr>
                <w:p>
                  <w:pPr>
                    <w:adjustRightInd w:val="0"/>
                    <w:snapToGrid w:val="0"/>
                    <w:jc w:val="center"/>
                    <w:rPr>
                      <w:rFonts w:ascii="仿宋" w:hAnsi="仿宋" w:eastAsia="仿宋" w:cs="仿宋"/>
                      <w:color w:val="000000"/>
                      <w:sz w:val="28"/>
                      <w:szCs w:val="28"/>
                    </w:rPr>
                  </w:pPr>
                  <w:r>
                    <w:rPr>
                      <w:rFonts w:hint="eastAsia" w:ascii="仿宋" w:hAnsi="仿宋" w:eastAsia="仿宋" w:cs="仿宋"/>
                      <w:color w:val="000000"/>
                      <w:sz w:val="28"/>
                      <w:szCs w:val="28"/>
                    </w:rPr>
                    <w:t>2026</w:t>
                  </w:r>
                </w:p>
                <w:p>
                  <w:pPr>
                    <w:adjustRightInd w:val="0"/>
                    <w:snapToGrid w:val="0"/>
                    <w:jc w:val="center"/>
                    <w:rPr>
                      <w:rFonts w:ascii="仿宋" w:hAnsi="仿宋" w:eastAsia="仿宋" w:cs="仿宋"/>
                      <w:color w:val="000000"/>
                      <w:sz w:val="28"/>
                      <w:szCs w:val="28"/>
                    </w:rPr>
                  </w:pPr>
                  <w:r>
                    <w:rPr>
                      <w:rFonts w:hint="eastAsia" w:ascii="仿宋" w:hAnsi="仿宋" w:eastAsia="仿宋" w:cs="仿宋"/>
                      <w:color w:val="000000"/>
                      <w:sz w:val="28"/>
                      <w:szCs w:val="28"/>
                    </w:rPr>
                    <w:t>年度</w:t>
                  </w:r>
                </w:p>
              </w:tc>
              <w:tc>
                <w:tcPr>
                  <w:tcW w:w="820" w:type="pct"/>
                  <w:vAlign w:val="center"/>
                </w:tcPr>
                <w:p>
                  <w:pPr>
                    <w:adjustRightInd w:val="0"/>
                    <w:snapToGrid w:val="0"/>
                    <w:jc w:val="center"/>
                    <w:rPr>
                      <w:rFonts w:ascii="仿宋" w:hAnsi="仿宋" w:eastAsia="仿宋" w:cs="仿宋"/>
                      <w:color w:val="000000"/>
                      <w:sz w:val="28"/>
                      <w:szCs w:val="28"/>
                      <w:u w:val="single"/>
                    </w:rPr>
                  </w:pPr>
                  <w:r>
                    <w:rPr>
                      <w:rFonts w:hint="eastAsia" w:ascii="仿宋" w:hAnsi="仿宋" w:eastAsia="仿宋" w:cs="仿宋"/>
                      <w:bCs/>
                      <w:color w:val="000000"/>
                      <w:sz w:val="28"/>
                      <w:szCs w:val="28"/>
                    </w:rPr>
                    <w:t>小计</w:t>
                  </w:r>
                </w:p>
              </w:tc>
              <w:tc>
                <w:tcPr>
                  <w:tcW w:w="558" w:type="pct"/>
                  <w:vMerge w:val="continue"/>
                  <w:vAlign w:val="center"/>
                </w:tcPr>
                <w:p>
                  <w:pPr>
                    <w:adjustRightInd w:val="0"/>
                    <w:snapToGrid w:val="0"/>
                    <w:jc w:val="center"/>
                    <w:rPr>
                      <w:rFonts w:ascii="仿宋" w:hAnsi="仿宋" w:eastAsia="仿宋" w:cs="仿宋"/>
                      <w:bCs/>
                      <w:color w:val="00000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10" w:hRule="atLeast"/>
                <w:jc w:val="center"/>
              </w:trPr>
              <w:tc>
                <w:tcPr>
                  <w:tcW w:w="1337" w:type="pct"/>
                  <w:tcMar>
                    <w:top w:w="15" w:type="dxa"/>
                    <w:left w:w="15" w:type="dxa"/>
                    <w:bottom w:w="0" w:type="dxa"/>
                    <w:right w:w="15" w:type="dxa"/>
                  </w:tcMar>
                  <w:vAlign w:val="center"/>
                </w:tcPr>
                <w:p>
                  <w:pPr>
                    <w:adjustRightInd w:val="0"/>
                    <w:snapToGrid w:val="0"/>
                    <w:jc w:val="center"/>
                    <w:rPr>
                      <w:rFonts w:ascii="仿宋" w:hAnsi="仿宋" w:eastAsia="仿宋" w:cs="仿宋"/>
                      <w:b/>
                      <w:color w:val="000000"/>
                      <w:kern w:val="0"/>
                      <w:sz w:val="28"/>
                      <w:szCs w:val="28"/>
                    </w:rPr>
                  </w:pPr>
                  <w:r>
                    <w:rPr>
                      <w:rFonts w:hint="eastAsia" w:ascii="仿宋" w:hAnsi="仿宋" w:eastAsia="仿宋" w:cs="仿宋"/>
                      <w:b/>
                      <w:color w:val="000000"/>
                      <w:kern w:val="0"/>
                      <w:sz w:val="28"/>
                      <w:szCs w:val="28"/>
                    </w:rPr>
                    <w:t>合计</w:t>
                  </w:r>
                </w:p>
              </w:tc>
              <w:tc>
                <w:tcPr>
                  <w:tcW w:w="1172" w:type="pct"/>
                  <w:tcMar>
                    <w:top w:w="15" w:type="dxa"/>
                    <w:left w:w="15" w:type="dxa"/>
                    <w:bottom w:w="0" w:type="dxa"/>
                    <w:right w:w="15" w:type="dxa"/>
                  </w:tcMar>
                  <w:vAlign w:val="center"/>
                </w:tcPr>
                <w:p>
                  <w:pPr>
                    <w:adjustRightInd w:val="0"/>
                    <w:snapToGrid w:val="0"/>
                    <w:jc w:val="center"/>
                    <w:rPr>
                      <w:rFonts w:ascii="仿宋" w:hAnsi="仿宋" w:eastAsia="仿宋" w:cs="仿宋"/>
                      <w:b/>
                      <w:color w:val="000000"/>
                      <w:kern w:val="0"/>
                      <w:sz w:val="28"/>
                      <w:szCs w:val="28"/>
                    </w:rPr>
                  </w:pPr>
                  <w:r>
                    <w:rPr>
                      <w:rFonts w:hint="eastAsia" w:ascii="仿宋" w:hAnsi="仿宋" w:eastAsia="仿宋" w:cs="仿宋"/>
                      <w:b/>
                      <w:color w:val="000000"/>
                      <w:kern w:val="0"/>
                      <w:sz w:val="28"/>
                      <w:szCs w:val="28"/>
                    </w:rPr>
                    <w:t>1</w:t>
                  </w:r>
                </w:p>
              </w:tc>
              <w:tc>
                <w:tcPr>
                  <w:tcW w:w="1110" w:type="pct"/>
                  <w:vAlign w:val="center"/>
                </w:tcPr>
                <w:p>
                  <w:pPr>
                    <w:adjustRightInd w:val="0"/>
                    <w:snapToGrid w:val="0"/>
                    <w:jc w:val="center"/>
                    <w:rPr>
                      <w:rFonts w:ascii="仿宋" w:hAnsi="仿宋" w:eastAsia="仿宋" w:cs="仿宋"/>
                      <w:b/>
                      <w:color w:val="000000"/>
                      <w:kern w:val="0"/>
                      <w:sz w:val="28"/>
                      <w:szCs w:val="28"/>
                    </w:rPr>
                  </w:pPr>
                  <w:r>
                    <w:rPr>
                      <w:rFonts w:hint="eastAsia" w:ascii="仿宋" w:hAnsi="仿宋" w:eastAsia="仿宋" w:cs="仿宋"/>
                      <w:b/>
                      <w:color w:val="000000"/>
                      <w:kern w:val="0"/>
                      <w:sz w:val="28"/>
                      <w:szCs w:val="28"/>
                    </w:rPr>
                    <w:t>2</w:t>
                  </w:r>
                </w:p>
              </w:tc>
              <w:tc>
                <w:tcPr>
                  <w:tcW w:w="820" w:type="pct"/>
                  <w:vAlign w:val="center"/>
                </w:tcPr>
                <w:p>
                  <w:pPr>
                    <w:adjustRightInd w:val="0"/>
                    <w:snapToGrid w:val="0"/>
                    <w:jc w:val="center"/>
                    <w:rPr>
                      <w:rFonts w:ascii="仿宋" w:hAnsi="仿宋" w:eastAsia="仿宋" w:cs="仿宋"/>
                      <w:b/>
                      <w:color w:val="000000"/>
                      <w:kern w:val="0"/>
                      <w:sz w:val="28"/>
                      <w:szCs w:val="28"/>
                    </w:rPr>
                  </w:pPr>
                  <w:r>
                    <w:rPr>
                      <w:rFonts w:hint="eastAsia" w:ascii="仿宋" w:hAnsi="仿宋" w:eastAsia="仿宋" w:cs="仿宋"/>
                      <w:b/>
                      <w:color w:val="000000"/>
                      <w:kern w:val="0"/>
                      <w:sz w:val="28"/>
                      <w:szCs w:val="28"/>
                    </w:rPr>
                    <w:t>3</w:t>
                  </w:r>
                </w:p>
              </w:tc>
              <w:tc>
                <w:tcPr>
                  <w:tcW w:w="558" w:type="pct"/>
                  <w:vAlign w:val="center"/>
                </w:tcPr>
                <w:p>
                  <w:pPr>
                    <w:adjustRightInd w:val="0"/>
                    <w:snapToGrid w:val="0"/>
                    <w:jc w:val="center"/>
                    <w:rPr>
                      <w:rFonts w:ascii="仿宋" w:hAnsi="仿宋" w:eastAsia="仿宋" w:cs="仿宋"/>
                      <w:b/>
                      <w:color w:val="000000"/>
                      <w:kern w:val="0"/>
                      <w:sz w:val="28"/>
                      <w:szCs w:val="28"/>
                    </w:rPr>
                  </w:pPr>
                  <w:r>
                    <w:rPr>
                      <w:rFonts w:hint="eastAsia" w:ascii="仿宋" w:hAnsi="仿宋" w:eastAsia="仿宋" w:cs="仿宋"/>
                      <w:b/>
                      <w:color w:val="000000"/>
                      <w:kern w:val="0"/>
                      <w:sz w:val="28"/>
                      <w:szCs w:val="28"/>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279" w:hRule="atLeast"/>
                <w:jc w:val="center"/>
              </w:trPr>
              <w:tc>
                <w:tcPr>
                  <w:tcW w:w="1337" w:type="pct"/>
                  <w:tcMar>
                    <w:top w:w="15" w:type="dxa"/>
                    <w:left w:w="15" w:type="dxa"/>
                    <w:bottom w:w="0" w:type="dxa"/>
                    <w:right w:w="15" w:type="dxa"/>
                  </w:tcMar>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职业能力调研</w:t>
                  </w:r>
                </w:p>
              </w:tc>
              <w:tc>
                <w:tcPr>
                  <w:tcW w:w="1172" w:type="pct"/>
                  <w:tcMar>
                    <w:top w:w="15" w:type="dxa"/>
                    <w:left w:w="15" w:type="dxa"/>
                    <w:bottom w:w="0" w:type="dxa"/>
                    <w:right w:w="15" w:type="dxa"/>
                  </w:tcMar>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0.2</w:t>
                  </w:r>
                </w:p>
              </w:tc>
              <w:tc>
                <w:tcPr>
                  <w:tcW w:w="1110" w:type="pct"/>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0</w:t>
                  </w:r>
                </w:p>
              </w:tc>
              <w:tc>
                <w:tcPr>
                  <w:tcW w:w="820" w:type="pct"/>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0.2</w:t>
                  </w:r>
                </w:p>
              </w:tc>
              <w:tc>
                <w:tcPr>
                  <w:tcW w:w="558" w:type="pct"/>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024" w:hRule="atLeast"/>
                <w:jc w:val="center"/>
              </w:trPr>
              <w:tc>
                <w:tcPr>
                  <w:tcW w:w="1337" w:type="pct"/>
                  <w:tcMar>
                    <w:top w:w="15" w:type="dxa"/>
                    <w:left w:w="15" w:type="dxa"/>
                    <w:bottom w:w="0" w:type="dxa"/>
                    <w:right w:w="15" w:type="dxa"/>
                  </w:tcMar>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教学资源库建设</w:t>
                  </w:r>
                </w:p>
              </w:tc>
              <w:tc>
                <w:tcPr>
                  <w:tcW w:w="1172" w:type="pct"/>
                  <w:tcMar>
                    <w:top w:w="15" w:type="dxa"/>
                    <w:left w:w="15" w:type="dxa"/>
                    <w:bottom w:w="0" w:type="dxa"/>
                    <w:right w:w="15" w:type="dxa"/>
                  </w:tcMar>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0.4</w:t>
                  </w:r>
                </w:p>
              </w:tc>
              <w:tc>
                <w:tcPr>
                  <w:tcW w:w="1110" w:type="pct"/>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0.8</w:t>
                  </w:r>
                </w:p>
              </w:tc>
              <w:tc>
                <w:tcPr>
                  <w:tcW w:w="820" w:type="pct"/>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1.2</w:t>
                  </w:r>
                </w:p>
              </w:tc>
              <w:tc>
                <w:tcPr>
                  <w:tcW w:w="558" w:type="pct"/>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143" w:hRule="atLeast"/>
                <w:jc w:val="center"/>
              </w:trPr>
              <w:tc>
                <w:tcPr>
                  <w:tcW w:w="1337" w:type="pct"/>
                  <w:tcMar>
                    <w:top w:w="15" w:type="dxa"/>
                    <w:left w:w="15" w:type="dxa"/>
                    <w:bottom w:w="0" w:type="dxa"/>
                    <w:right w:w="15" w:type="dxa"/>
                  </w:tcMar>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教学资源开发</w:t>
                  </w:r>
                </w:p>
              </w:tc>
              <w:tc>
                <w:tcPr>
                  <w:tcW w:w="1172" w:type="pct"/>
                  <w:tcMar>
                    <w:top w:w="15" w:type="dxa"/>
                    <w:left w:w="15" w:type="dxa"/>
                    <w:bottom w:w="0" w:type="dxa"/>
                    <w:right w:w="15" w:type="dxa"/>
                  </w:tcMar>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0.5</w:t>
                  </w:r>
                </w:p>
              </w:tc>
              <w:tc>
                <w:tcPr>
                  <w:tcW w:w="1110" w:type="pct"/>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0.5</w:t>
                  </w:r>
                </w:p>
              </w:tc>
              <w:tc>
                <w:tcPr>
                  <w:tcW w:w="820" w:type="pct"/>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1</w:t>
                  </w:r>
                </w:p>
              </w:tc>
              <w:tc>
                <w:tcPr>
                  <w:tcW w:w="558" w:type="pct"/>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193" w:hRule="atLeast"/>
                <w:jc w:val="center"/>
              </w:trPr>
              <w:tc>
                <w:tcPr>
                  <w:tcW w:w="1337" w:type="pct"/>
                  <w:tcMar>
                    <w:top w:w="15" w:type="dxa"/>
                    <w:left w:w="15" w:type="dxa"/>
                    <w:bottom w:w="0" w:type="dxa"/>
                    <w:right w:w="15" w:type="dxa"/>
                  </w:tcMar>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提升社会服务能力</w:t>
                  </w:r>
                </w:p>
              </w:tc>
              <w:tc>
                <w:tcPr>
                  <w:tcW w:w="1172" w:type="pct"/>
                  <w:tcMar>
                    <w:top w:w="15" w:type="dxa"/>
                    <w:left w:w="15" w:type="dxa"/>
                    <w:bottom w:w="0" w:type="dxa"/>
                    <w:right w:w="15" w:type="dxa"/>
                  </w:tcMar>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0.2</w:t>
                  </w:r>
                </w:p>
              </w:tc>
              <w:tc>
                <w:tcPr>
                  <w:tcW w:w="1110" w:type="pct"/>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0.4</w:t>
                  </w:r>
                </w:p>
              </w:tc>
              <w:tc>
                <w:tcPr>
                  <w:tcW w:w="820" w:type="pct"/>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0.6</w:t>
                  </w:r>
                </w:p>
              </w:tc>
              <w:tc>
                <w:tcPr>
                  <w:tcW w:w="558" w:type="pct"/>
                  <w:vAlign w:val="center"/>
                </w:tcPr>
                <w:p>
                  <w:pPr>
                    <w:adjustRightInd w:val="0"/>
                    <w:snapToGrid w:val="0"/>
                    <w:jc w:val="center"/>
                    <w:rPr>
                      <w:rFonts w:ascii="仿宋" w:hAnsi="仿宋" w:eastAsia="仿宋" w:cs="仿宋"/>
                      <w:bCs/>
                      <w:color w:val="000000"/>
                      <w:kern w:val="0"/>
                      <w:sz w:val="28"/>
                      <w:szCs w:val="28"/>
                    </w:rPr>
                  </w:pPr>
                  <w:r>
                    <w:rPr>
                      <w:rFonts w:hint="eastAsia" w:ascii="仿宋" w:hAnsi="仿宋" w:eastAsia="仿宋" w:cs="仿宋"/>
                      <w:bCs/>
                      <w:color w:val="000000"/>
                      <w:kern w:val="0"/>
                      <w:sz w:val="28"/>
                      <w:szCs w:val="28"/>
                    </w:rPr>
                    <w:t>0.6</w:t>
                  </w:r>
                </w:p>
              </w:tc>
            </w:tr>
          </w:tbl>
          <w:p>
            <w:pPr>
              <w:pStyle w:val="15"/>
              <w:spacing w:line="400" w:lineRule="exact"/>
              <w:jc w:val="left"/>
            </w:pPr>
          </w:p>
        </w:tc>
      </w:tr>
    </w:tbl>
    <w:p>
      <w:pPr>
        <w:pStyle w:val="14"/>
        <w:spacing w:line="240" w:lineRule="exact"/>
        <w:ind w:firstLine="0" w:firstLineChars="0"/>
        <w:sectPr>
          <w:pgSz w:w="11906" w:h="16838"/>
          <w:pgMar w:top="2098" w:right="1474" w:bottom="1985" w:left="1588" w:header="851" w:footer="992" w:gutter="0"/>
          <w:cols w:space="720" w:num="1"/>
          <w:docGrid w:linePitch="634" w:charSpace="17788"/>
        </w:sectPr>
      </w:pPr>
    </w:p>
    <w:p>
      <w:pPr>
        <w:pStyle w:val="13"/>
        <w:ind w:firstLine="0" w:firstLineChars="0"/>
      </w:pPr>
      <w:r>
        <w:rPr>
          <w:rFonts w:hint="eastAsia"/>
        </w:rPr>
        <w:t>十、其他</w:t>
      </w:r>
    </w:p>
    <w:p>
      <w:pPr>
        <w:pStyle w:val="16"/>
        <w:ind w:firstLine="0" w:firstLineChars="0"/>
      </w:pPr>
      <w:r>
        <w:rPr>
          <w:rFonts w:hint="eastAsia"/>
        </w:rPr>
        <w:t>1</w:t>
      </w:r>
      <w:r>
        <w:t>.</w:t>
      </w:r>
      <w:r>
        <w:rPr>
          <w:rFonts w:hint="eastAsia"/>
        </w:rPr>
        <w:t>项目团队成员签名</w:t>
      </w:r>
    </w:p>
    <w:p>
      <w:pPr>
        <w:pStyle w:val="14"/>
        <w:ind w:firstLine="0" w:firstLineChars="0"/>
      </w:pPr>
      <w:r>
        <w:drawing>
          <wp:anchor distT="0" distB="0" distL="114300" distR="114300" simplePos="0" relativeHeight="251661312" behindDoc="0" locked="0" layoutInCell="1" allowOverlap="1">
            <wp:simplePos x="0" y="0"/>
            <wp:positionH relativeFrom="column">
              <wp:posOffset>-245110</wp:posOffset>
            </wp:positionH>
            <wp:positionV relativeFrom="paragraph">
              <wp:posOffset>78740</wp:posOffset>
            </wp:positionV>
            <wp:extent cx="5953125" cy="6355080"/>
            <wp:effectExtent l="0" t="0" r="9525" b="762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953125" cy="6355080"/>
                    </a:xfrm>
                    <a:prstGeom prst="rect">
                      <a:avLst/>
                    </a:prstGeom>
                    <a:noFill/>
                    <a:ln>
                      <a:noFill/>
                    </a:ln>
                  </pic:spPr>
                </pic:pic>
              </a:graphicData>
            </a:graphic>
          </wp:anchor>
        </w:drawing>
      </w:r>
    </w:p>
    <w:p>
      <w:pPr>
        <w:pStyle w:val="14"/>
        <w:ind w:firstLine="0" w:firstLineChars="0"/>
        <w:sectPr>
          <w:pgSz w:w="11906" w:h="16838"/>
          <w:pgMar w:top="2098" w:right="1474" w:bottom="1985" w:left="1588" w:header="851" w:footer="992" w:gutter="0"/>
          <w:cols w:space="720" w:num="1"/>
          <w:docGrid w:linePitch="634" w:charSpace="17788"/>
        </w:sectPr>
      </w:pPr>
    </w:p>
    <w:p>
      <w:pPr>
        <w:pStyle w:val="16"/>
        <w:ind w:firstLine="0" w:firstLineChars="0"/>
      </w:pPr>
      <w:r>
        <w:rPr>
          <w:rFonts w:hint="eastAsia"/>
        </w:rPr>
        <w:t>2</w:t>
      </w:r>
      <w:r>
        <w:t xml:space="preserve">. </w:t>
      </w:r>
      <w:r>
        <w:rPr>
          <w:rFonts w:hint="eastAsia"/>
        </w:rPr>
        <w:t>项目建设单位保障承诺及推荐意见</w:t>
      </w:r>
    </w:p>
    <w:p>
      <w:pPr>
        <w:pStyle w:val="17"/>
        <w:ind w:firstLine="0" w:firstLineChars="0"/>
      </w:pPr>
      <w:r>
        <w:drawing>
          <wp:anchor distT="0" distB="0" distL="114300" distR="114300" simplePos="0" relativeHeight="251660288" behindDoc="0" locked="0" layoutInCell="1" allowOverlap="1">
            <wp:simplePos x="0" y="0"/>
            <wp:positionH relativeFrom="column">
              <wp:posOffset>-240665</wp:posOffset>
            </wp:positionH>
            <wp:positionV relativeFrom="paragraph">
              <wp:posOffset>181610</wp:posOffset>
            </wp:positionV>
            <wp:extent cx="5823585" cy="6144895"/>
            <wp:effectExtent l="0" t="0" r="5715" b="1905"/>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5823585" cy="6144895"/>
                    </a:xfrm>
                    <a:prstGeom prst="rect">
                      <a:avLst/>
                    </a:prstGeom>
                    <a:noFill/>
                    <a:ln>
                      <a:noFill/>
                    </a:ln>
                  </pic:spPr>
                </pic:pic>
              </a:graphicData>
            </a:graphic>
          </wp:anchor>
        </w:drawing>
      </w:r>
    </w:p>
    <w:p>
      <w:pPr>
        <w:pStyle w:val="17"/>
        <w:ind w:firstLine="0" w:firstLineChars="0"/>
      </w:pPr>
    </w:p>
    <w:p>
      <w:pPr>
        <w:pStyle w:val="17"/>
        <w:ind w:firstLine="0" w:firstLineChars="0"/>
      </w:pPr>
      <w:r>
        <w:br w:type="page"/>
      </w:r>
      <w:r>
        <w:rPr>
          <w:rFonts w:hint="eastAsia"/>
        </w:rPr>
        <w:t>4</w:t>
      </w:r>
      <w:r>
        <w:t>.</w:t>
      </w:r>
      <w:r>
        <w:rPr>
          <w:rFonts w:hint="eastAsia"/>
        </w:rPr>
        <w:t>推荐单位意见</w:t>
      </w:r>
    </w:p>
    <w:tbl>
      <w:tblPr>
        <w:tblStyle w:val="7"/>
        <w:tblW w:w="9660" w:type="dxa"/>
        <w:jc w:val="center"/>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
      <w:tblGrid>
        <w:gridCol w:w="9660"/>
      </w:tblGrid>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9920" w:hRule="atLeast"/>
          <w:jc w:val="center"/>
        </w:trPr>
        <w:tc>
          <w:tcPr>
            <w:tcW w:w="9660" w:type="dxa"/>
          </w:tcPr>
          <w:p>
            <w:pPr>
              <w:pStyle w:val="15"/>
              <w:spacing w:line="400" w:lineRule="exact"/>
              <w:jc w:val="left"/>
            </w:pPr>
            <w:r>
              <w:rPr>
                <w:rFonts w:hint="eastAsia"/>
              </w:rPr>
              <w:t>（如通过地市教育局、有关协会推荐的项目须由推荐单位填写推荐意见。）</w:t>
            </w:r>
          </w:p>
          <w:p>
            <w:pPr>
              <w:pStyle w:val="15"/>
              <w:spacing w:line="400" w:lineRule="exact"/>
              <w:jc w:val="left"/>
            </w:pP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1416" w:hRule="atLeast"/>
          <w:jc w:val="center"/>
        </w:trPr>
        <w:tc>
          <w:tcPr>
            <w:tcW w:w="9660" w:type="dxa"/>
          </w:tcPr>
          <w:p>
            <w:pPr>
              <w:pStyle w:val="15"/>
              <w:spacing w:line="600" w:lineRule="exact"/>
              <w:jc w:val="left"/>
            </w:pPr>
            <w:r>
              <w:rPr>
                <w:rFonts w:hint="eastAsia"/>
              </w:rPr>
              <w:t xml:space="preserve"> </w:t>
            </w:r>
            <w:r>
              <w:t xml:space="preserve">                          </w:t>
            </w:r>
            <w:r>
              <w:rPr>
                <w:rFonts w:hint="eastAsia"/>
              </w:rPr>
              <w:t>单位名称（公章）：</w:t>
            </w:r>
          </w:p>
          <w:p>
            <w:pPr>
              <w:pStyle w:val="15"/>
              <w:spacing w:line="600" w:lineRule="exact"/>
              <w:jc w:val="left"/>
            </w:pPr>
            <w:r>
              <w:rPr>
                <w:rFonts w:hint="eastAsia"/>
              </w:rPr>
              <w:t xml:space="preserve"> </w:t>
            </w:r>
            <w:r>
              <w:t xml:space="preserve">                                         </w:t>
            </w:r>
            <w:r>
              <w:rPr>
                <w:rFonts w:hint="eastAsia"/>
              </w:rPr>
              <w:t xml:space="preserve">年 </w:t>
            </w:r>
            <w:r>
              <w:t xml:space="preserve">  </w:t>
            </w:r>
            <w:r>
              <w:rPr>
                <w:rFonts w:hint="eastAsia"/>
              </w:rPr>
              <w:t xml:space="preserve">月 </w:t>
            </w:r>
            <w:r>
              <w:t xml:space="preserve">   </w:t>
            </w:r>
            <w:r>
              <w:rPr>
                <w:rFonts w:hint="eastAsia"/>
              </w:rPr>
              <w:t>日</w:t>
            </w:r>
          </w:p>
        </w:tc>
      </w:tr>
    </w:tbl>
    <w:p>
      <w:pPr>
        <w:pStyle w:val="14"/>
        <w:ind w:firstLine="0" w:firstLineChars="0"/>
      </w:pPr>
    </w:p>
    <w:p>
      <w:pPr>
        <w:pStyle w:val="13"/>
        <w:ind w:firstLine="0" w:firstLineChars="0"/>
      </w:pPr>
      <w:r>
        <w:br w:type="page"/>
      </w:r>
      <w:r>
        <w:rPr>
          <w:rFonts w:hint="eastAsia"/>
        </w:rPr>
        <w:t>附件：</w:t>
      </w:r>
    </w:p>
    <w:p>
      <w:pPr>
        <w:pStyle w:val="12"/>
      </w:pPr>
      <w:r>
        <w:rPr>
          <w:rFonts w:hint="eastAsia"/>
        </w:rPr>
        <w:t>项目申报材料附件清单</w:t>
      </w:r>
    </w:p>
    <w:p>
      <w:pPr>
        <w:pStyle w:val="14"/>
      </w:pPr>
    </w:p>
    <w:p>
      <w:pPr>
        <w:pStyle w:val="14"/>
        <w:numPr>
          <w:ilvl w:val="0"/>
          <w:numId w:val="7"/>
        </w:numPr>
        <w:ind w:firstLineChars="0"/>
      </w:pPr>
      <w:r>
        <w:rPr>
          <w:rFonts w:hint="eastAsia"/>
        </w:rPr>
        <w:t>项目建设方案</w:t>
      </w:r>
    </w:p>
    <w:p>
      <w:pPr>
        <w:pStyle w:val="14"/>
        <w:numPr>
          <w:ilvl w:val="0"/>
          <w:numId w:val="7"/>
        </w:numPr>
        <w:ind w:firstLineChars="0"/>
      </w:pPr>
      <w:r>
        <w:rPr>
          <w:rFonts w:hint="eastAsia"/>
        </w:rPr>
        <w:t>佐证材料</w:t>
      </w:r>
    </w:p>
    <w:p>
      <w:pPr>
        <w:pStyle w:val="14"/>
        <w:ind w:firstLine="0" w:firstLineChars="0"/>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DA792268-40A0-41D1-9279-13A8BAB044FF}"/>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2" w:fontKey="{CB181A2A-E2B4-46B0-A3DC-D1D712EDC4D3}"/>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embedRegular r:id="rId3" w:fontKey="{1F19B4B5-0E53-4279-9737-74F5F9104B1E}"/>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_GB2312">
    <w:altName w:val="仿宋"/>
    <w:panose1 w:val="00000000000000000000"/>
    <w:charset w:val="86"/>
    <w:family w:val="auto"/>
    <w:pitch w:val="default"/>
    <w:sig w:usb0="00000000" w:usb1="00000000" w:usb2="00000012" w:usb3="00000000" w:csb0="00040001" w:csb1="00000000"/>
    <w:embedRegular r:id="rId4" w:fontKey="{75D245C7-73D6-4954-8C6C-ACE7EA120E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1</w:t>
    </w:r>
    <w:r>
      <w:rPr>
        <w:rFonts w:ascii="Times New Roman" w:hAnsi="Times New Roman"/>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6F378"/>
    <w:multiLevelType w:val="singleLevel"/>
    <w:tmpl w:val="8636F378"/>
    <w:lvl w:ilvl="0" w:tentative="0">
      <w:start w:val="2"/>
      <w:numFmt w:val="chineseCounting"/>
      <w:suff w:val="nothing"/>
      <w:lvlText w:val="%1、"/>
      <w:lvlJc w:val="left"/>
      <w:rPr>
        <w:rFonts w:hint="eastAsia"/>
      </w:rPr>
    </w:lvl>
  </w:abstractNum>
  <w:abstractNum w:abstractNumId="1">
    <w:nsid w:val="D0AC142F"/>
    <w:multiLevelType w:val="singleLevel"/>
    <w:tmpl w:val="D0AC142F"/>
    <w:lvl w:ilvl="0" w:tentative="0">
      <w:start w:val="1"/>
      <w:numFmt w:val="decimal"/>
      <w:suff w:val="nothing"/>
      <w:lvlText w:val="%1、"/>
      <w:lvlJc w:val="left"/>
    </w:lvl>
  </w:abstractNum>
  <w:abstractNum w:abstractNumId="2">
    <w:nsid w:val="E53B74C4"/>
    <w:multiLevelType w:val="singleLevel"/>
    <w:tmpl w:val="E53B74C4"/>
    <w:lvl w:ilvl="0" w:tentative="0">
      <w:start w:val="1"/>
      <w:numFmt w:val="decimal"/>
      <w:lvlText w:val="%1."/>
      <w:lvlJc w:val="left"/>
      <w:pPr>
        <w:tabs>
          <w:tab w:val="left" w:pos="312"/>
        </w:tabs>
      </w:pPr>
    </w:lvl>
  </w:abstractNum>
  <w:abstractNum w:abstractNumId="3">
    <w:nsid w:val="13E2F0CC"/>
    <w:multiLevelType w:val="singleLevel"/>
    <w:tmpl w:val="13E2F0CC"/>
    <w:lvl w:ilvl="0" w:tentative="0">
      <w:start w:val="4"/>
      <w:numFmt w:val="decimal"/>
      <w:suff w:val="nothing"/>
      <w:lvlText w:val="%1、"/>
      <w:lvlJc w:val="left"/>
    </w:lvl>
  </w:abstractNum>
  <w:abstractNum w:abstractNumId="4">
    <w:nsid w:val="31A77F6D"/>
    <w:multiLevelType w:val="singleLevel"/>
    <w:tmpl w:val="31A77F6D"/>
    <w:lvl w:ilvl="0" w:tentative="0">
      <w:start w:val="1"/>
      <w:numFmt w:val="decimal"/>
      <w:lvlText w:val="%1."/>
      <w:lvlJc w:val="left"/>
      <w:pPr>
        <w:tabs>
          <w:tab w:val="left" w:pos="312"/>
        </w:tabs>
      </w:pPr>
    </w:lvl>
  </w:abstractNum>
  <w:abstractNum w:abstractNumId="5">
    <w:nsid w:val="33A74DC8"/>
    <w:multiLevelType w:val="multilevel"/>
    <w:tmpl w:val="33A74DC8"/>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78DD7FA1"/>
    <w:multiLevelType w:val="multilevel"/>
    <w:tmpl w:val="78DD7FA1"/>
    <w:lvl w:ilvl="0" w:tentative="0">
      <w:start w:val="1"/>
      <w:numFmt w:val="decimal"/>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6"/>
  </w:num>
  <w:num w:numId="2">
    <w:abstractNumId w:val="4"/>
  </w:num>
  <w:num w:numId="3">
    <w:abstractNumId w:val="2"/>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2NDE5YWMyZDcwNWQ1ODdjYjQ5NWQ0M2IwZmUzNGYifQ=="/>
    <w:docVar w:name="KSO_WPS_MARK_KEY" w:val="68570406-06fb-4ead-b11c-40ac9fbaacbf"/>
  </w:docVars>
  <w:rsids>
    <w:rsidRoot w:val="6CDA65F6"/>
    <w:rsid w:val="00156D0C"/>
    <w:rsid w:val="001641CE"/>
    <w:rsid w:val="001B5475"/>
    <w:rsid w:val="002F3D0B"/>
    <w:rsid w:val="00495F7E"/>
    <w:rsid w:val="00553667"/>
    <w:rsid w:val="00563D2F"/>
    <w:rsid w:val="005D4CBF"/>
    <w:rsid w:val="005E0CBC"/>
    <w:rsid w:val="00791474"/>
    <w:rsid w:val="00873F07"/>
    <w:rsid w:val="008E350A"/>
    <w:rsid w:val="00A34F8D"/>
    <w:rsid w:val="00B86BF4"/>
    <w:rsid w:val="00C81DF2"/>
    <w:rsid w:val="00D219FE"/>
    <w:rsid w:val="0BFE39F7"/>
    <w:rsid w:val="2E5079EF"/>
    <w:rsid w:val="32E97339"/>
    <w:rsid w:val="347029D5"/>
    <w:rsid w:val="4044571C"/>
    <w:rsid w:val="603D2DFA"/>
    <w:rsid w:val="6CDA65F6"/>
    <w:rsid w:val="716E1262"/>
    <w:rsid w:val="7337093E"/>
    <w:rsid w:val="73F926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1"/>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link w:val="23"/>
    <w:qFormat/>
    <w:uiPriority w:val="1"/>
    <w:rPr>
      <w:sz w:val="32"/>
      <w:szCs w:val="32"/>
    </w:rPr>
  </w:style>
  <w:style w:type="paragraph" w:styleId="3">
    <w:name w:val="Balloon Text"/>
    <w:basedOn w:val="1"/>
    <w:link w:val="25"/>
    <w:autoRedefine/>
    <w:qFormat/>
    <w:uiPriority w:val="0"/>
    <w:rPr>
      <w:sz w:val="18"/>
      <w:szCs w:val="18"/>
    </w:rPr>
  </w:style>
  <w:style w:type="paragraph" w:styleId="4">
    <w:name w:val="footer"/>
    <w:basedOn w:val="1"/>
    <w:autoRedefine/>
    <w:unhideWhenUsed/>
    <w:qFormat/>
    <w:uiPriority w:val="99"/>
    <w:pPr>
      <w:tabs>
        <w:tab w:val="center" w:pos="4153"/>
        <w:tab w:val="right" w:pos="8306"/>
      </w:tabs>
      <w:snapToGrid w:val="0"/>
      <w:jc w:val="left"/>
    </w:pPr>
    <w:rPr>
      <w:sz w:val="18"/>
      <w:szCs w:val="18"/>
    </w:rPr>
  </w:style>
  <w:style w:type="paragraph" w:styleId="5">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Body Text First Indent1"/>
    <w:basedOn w:val="1"/>
    <w:autoRedefine/>
    <w:qFormat/>
    <w:uiPriority w:val="0"/>
    <w:pPr>
      <w:jc w:val="center"/>
    </w:pPr>
  </w:style>
  <w:style w:type="paragraph" w:customStyle="1" w:styleId="10">
    <w:name w:val="附件头"/>
    <w:basedOn w:val="1"/>
    <w:next w:val="11"/>
    <w:autoRedefine/>
    <w:qFormat/>
    <w:uiPriority w:val="5"/>
    <w:pPr>
      <w:spacing w:line="560" w:lineRule="exact"/>
    </w:pPr>
    <w:rPr>
      <w:rFonts w:ascii="黑体" w:hAnsi="黑体" w:eastAsia="黑体"/>
      <w:sz w:val="32"/>
    </w:rPr>
  </w:style>
  <w:style w:type="paragraph" w:customStyle="1" w:styleId="11">
    <w:name w:val="无缩进正文"/>
    <w:basedOn w:val="1"/>
    <w:autoRedefine/>
    <w:qFormat/>
    <w:uiPriority w:val="0"/>
    <w:pPr>
      <w:spacing w:line="560" w:lineRule="exact"/>
    </w:pPr>
    <w:rPr>
      <w:rFonts w:ascii="Times New Roman" w:hAnsi="Times New Roman" w:eastAsia="仿宋"/>
      <w:sz w:val="32"/>
    </w:rPr>
  </w:style>
  <w:style w:type="paragraph" w:customStyle="1" w:styleId="12">
    <w:name w:val="公文标题"/>
    <w:basedOn w:val="1"/>
    <w:next w:val="11"/>
    <w:autoRedefine/>
    <w:qFormat/>
    <w:uiPriority w:val="2"/>
    <w:pPr>
      <w:spacing w:line="560" w:lineRule="exact"/>
      <w:jc w:val="center"/>
    </w:pPr>
    <w:rPr>
      <w:rFonts w:ascii="微软雅黑" w:hAnsi="微软雅黑" w:eastAsia="微软雅黑"/>
      <w:sz w:val="44"/>
    </w:rPr>
  </w:style>
  <w:style w:type="paragraph" w:customStyle="1" w:styleId="13">
    <w:name w:val="一级标题"/>
    <w:basedOn w:val="1"/>
    <w:next w:val="14"/>
    <w:autoRedefine/>
    <w:qFormat/>
    <w:uiPriority w:val="1"/>
    <w:pPr>
      <w:spacing w:line="560" w:lineRule="exact"/>
      <w:ind w:firstLine="640" w:firstLineChars="200"/>
    </w:pPr>
    <w:rPr>
      <w:rFonts w:ascii="黑体" w:hAnsi="黑体" w:eastAsia="黑体"/>
      <w:sz w:val="32"/>
    </w:rPr>
  </w:style>
  <w:style w:type="paragraph" w:customStyle="1" w:styleId="14">
    <w:name w:val="公文正文"/>
    <w:basedOn w:val="1"/>
    <w:autoRedefine/>
    <w:qFormat/>
    <w:uiPriority w:val="0"/>
    <w:pPr>
      <w:spacing w:line="560" w:lineRule="exact"/>
      <w:ind w:firstLine="640" w:firstLineChars="200"/>
    </w:pPr>
    <w:rPr>
      <w:rFonts w:ascii="仿宋_GB2312" w:hAnsi="Times New Roman" w:eastAsia="仿宋"/>
      <w:sz w:val="32"/>
    </w:rPr>
  </w:style>
  <w:style w:type="paragraph" w:customStyle="1" w:styleId="15">
    <w:name w:val="表格正文"/>
    <w:basedOn w:val="11"/>
    <w:autoRedefine/>
    <w:qFormat/>
    <w:uiPriority w:val="6"/>
    <w:pPr>
      <w:spacing w:line="240" w:lineRule="auto"/>
      <w:jc w:val="center"/>
    </w:pPr>
    <w:rPr>
      <w:sz w:val="28"/>
    </w:rPr>
  </w:style>
  <w:style w:type="paragraph" w:customStyle="1" w:styleId="16">
    <w:name w:val="二级标题"/>
    <w:basedOn w:val="1"/>
    <w:next w:val="14"/>
    <w:autoRedefine/>
    <w:qFormat/>
    <w:uiPriority w:val="2"/>
    <w:pPr>
      <w:spacing w:line="560" w:lineRule="exact"/>
      <w:ind w:firstLine="640" w:firstLineChars="200"/>
    </w:pPr>
    <w:rPr>
      <w:rFonts w:ascii="楷体_GB2312" w:hAnsi="Times New Roman" w:eastAsia="楷体"/>
      <w:sz w:val="32"/>
    </w:rPr>
  </w:style>
  <w:style w:type="paragraph" w:customStyle="1" w:styleId="17">
    <w:name w:val="三级标题"/>
    <w:basedOn w:val="1"/>
    <w:next w:val="14"/>
    <w:autoRedefine/>
    <w:qFormat/>
    <w:uiPriority w:val="3"/>
    <w:pPr>
      <w:spacing w:line="560" w:lineRule="exact"/>
      <w:ind w:firstLine="643" w:firstLineChars="200"/>
    </w:pPr>
    <w:rPr>
      <w:rFonts w:ascii="仿宋_GB2312" w:hAnsi="Times New Roman" w:eastAsia="仿宋"/>
      <w:b/>
      <w:sz w:val="32"/>
      <w:szCs w:val="22"/>
    </w:rPr>
  </w:style>
  <w:style w:type="paragraph" w:customStyle="1" w:styleId="18">
    <w:name w:val="_Style 3"/>
    <w:basedOn w:val="1"/>
    <w:autoRedefine/>
    <w:qFormat/>
    <w:uiPriority w:val="0"/>
    <w:pPr>
      <w:ind w:firstLine="420" w:firstLineChars="200"/>
    </w:pPr>
    <w:rPr>
      <w:sz w:val="20"/>
    </w:rPr>
  </w:style>
  <w:style w:type="paragraph" w:customStyle="1" w:styleId="19">
    <w:name w:val="正文首行缩进1"/>
    <w:basedOn w:val="1"/>
    <w:autoRedefine/>
    <w:qFormat/>
    <w:uiPriority w:val="0"/>
    <w:pPr>
      <w:jc w:val="center"/>
    </w:pPr>
  </w:style>
  <w:style w:type="paragraph" w:customStyle="1" w:styleId="20">
    <w:name w:val="Table Text"/>
    <w:basedOn w:val="1"/>
    <w:autoRedefine/>
    <w:semiHidden/>
    <w:qFormat/>
    <w:uiPriority w:val="0"/>
    <w:rPr>
      <w:rFonts w:ascii="仿宋" w:hAnsi="仿宋" w:eastAsia="仿宋" w:cs="仿宋"/>
      <w:sz w:val="28"/>
      <w:szCs w:val="28"/>
      <w:lang w:eastAsia="en-US"/>
    </w:rPr>
  </w:style>
  <w:style w:type="table" w:customStyle="1" w:styleId="21">
    <w:name w:val="Table Normal"/>
    <w:autoRedefine/>
    <w:semiHidden/>
    <w:unhideWhenUsed/>
    <w:qFormat/>
    <w:uiPriority w:val="0"/>
    <w:tblPr>
      <w:tblCellMar>
        <w:top w:w="0" w:type="dxa"/>
        <w:left w:w="0" w:type="dxa"/>
        <w:bottom w:w="0" w:type="dxa"/>
        <w:right w:w="0" w:type="dxa"/>
      </w:tblCellMar>
    </w:tblPr>
  </w:style>
  <w:style w:type="paragraph" w:customStyle="1" w:styleId="22">
    <w:name w:val="_Style 2"/>
    <w:basedOn w:val="1"/>
    <w:autoRedefine/>
    <w:qFormat/>
    <w:uiPriority w:val="34"/>
    <w:pPr>
      <w:adjustRightInd w:val="0"/>
      <w:spacing w:line="312" w:lineRule="atLeast"/>
      <w:ind w:firstLine="420" w:firstLineChars="200"/>
      <w:textAlignment w:val="baseline"/>
    </w:pPr>
    <w:rPr>
      <w:kern w:val="0"/>
      <w:szCs w:val="20"/>
    </w:rPr>
  </w:style>
  <w:style w:type="character" w:customStyle="1" w:styleId="23">
    <w:name w:val="正文文本 Char"/>
    <w:basedOn w:val="8"/>
    <w:link w:val="2"/>
    <w:autoRedefine/>
    <w:uiPriority w:val="1"/>
    <w:rPr>
      <w:rFonts w:ascii="等线" w:hAnsi="等线" w:eastAsia="等线" w:cs="Times New Roman"/>
      <w:kern w:val="2"/>
      <w:sz w:val="32"/>
      <w:szCs w:val="32"/>
    </w:rPr>
  </w:style>
  <w:style w:type="character" w:customStyle="1" w:styleId="24">
    <w:name w:val="页眉 Char"/>
    <w:basedOn w:val="8"/>
    <w:link w:val="5"/>
    <w:autoRedefine/>
    <w:qFormat/>
    <w:uiPriority w:val="0"/>
    <w:rPr>
      <w:rFonts w:ascii="等线" w:hAnsi="等线" w:eastAsia="等线" w:cs="Times New Roman"/>
      <w:kern w:val="2"/>
      <w:sz w:val="18"/>
      <w:szCs w:val="18"/>
    </w:rPr>
  </w:style>
  <w:style w:type="character" w:customStyle="1" w:styleId="25">
    <w:name w:val="批注框文本 Char"/>
    <w:basedOn w:val="8"/>
    <w:link w:val="3"/>
    <w:autoRedefine/>
    <w:qFormat/>
    <w:uiPriority w:val="0"/>
    <w:rPr>
      <w:rFonts w:ascii="等线" w:hAnsi="等线" w:eastAsia="等线"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Pages>
  <Words>1252</Words>
  <Characters>7139</Characters>
  <Lines>59</Lines>
  <Paragraphs>16</Paragraphs>
  <TotalTime>56</TotalTime>
  <ScaleCrop>false</ScaleCrop>
  <LinksUpToDate>false</LinksUpToDate>
  <CharactersWithSpaces>8375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2024-05-15T08:36:00Z</dcterms:created>
  <dc:creator>陈小橙</dc:creator>
  <cp:lastModifiedBy>陈小橙</cp:lastModifiedBy>
  <dcterms:modified xsi:type="dcterms:W3CDTF">2024-05-24T05:32:22Z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DEE8A880C76A45F3883051087E681155_13</vt:lpwstr>
  </property>
</Properties>
</file>