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865003C">
      <w:pPr>
        <w:jc w:val="center"/>
        <w:rPr>
          <w:rFonts w:ascii="仿宋_GB2312" w:hAnsi="黑体" w:eastAsia="仿宋_GB2312" w:cs="Times New Roman"/>
          <w:b/>
          <w:bCs/>
          <w:sz w:val="32"/>
          <w:szCs w:val="40"/>
        </w:rPr>
      </w:pPr>
      <w:r>
        <w:rPr>
          <w:rFonts w:ascii="仿宋_GB2312" w:hAnsi="黑体" w:eastAsia="仿宋_GB2312" w:cs="Times New Roman"/>
          <w:b/>
          <w:bCs/>
          <w:sz w:val="32"/>
          <w:szCs w:val="40"/>
        </w:rPr>
        <w:t>6.</w:t>
      </w:r>
      <w:r>
        <w:rPr>
          <w:rFonts w:hint="eastAsia" w:ascii="仿宋_GB2312" w:hAnsi="黑体" w:eastAsia="仿宋_GB2312" w:cs="Times New Roman"/>
          <w:b/>
          <w:bCs/>
          <w:sz w:val="32"/>
          <w:szCs w:val="40"/>
        </w:rPr>
        <w:t>2</w:t>
      </w:r>
      <w:r>
        <w:rPr>
          <w:rFonts w:ascii="仿宋_GB2312" w:hAnsi="黑体" w:eastAsia="仿宋_GB2312" w:cs="Times New Roman"/>
          <w:b/>
          <w:bCs/>
          <w:sz w:val="32"/>
          <w:szCs w:val="40"/>
        </w:rPr>
        <w:t>.</w:t>
      </w:r>
      <w:r>
        <w:rPr>
          <w:rFonts w:hint="eastAsia" w:ascii="仿宋_GB2312" w:hAnsi="黑体" w:eastAsia="仿宋_GB2312" w:cs="Times New Roman"/>
          <w:b/>
          <w:bCs/>
          <w:sz w:val="32"/>
          <w:szCs w:val="40"/>
        </w:rPr>
        <w:t>3</w:t>
      </w:r>
      <w:r>
        <w:rPr>
          <w:rFonts w:ascii="仿宋_GB2312" w:hAnsi="黑体" w:eastAsia="仿宋_GB2312" w:cs="Times New Roman"/>
          <w:b/>
          <w:bCs/>
          <w:sz w:val="32"/>
          <w:szCs w:val="40"/>
        </w:rPr>
        <w:t>.</w:t>
      </w:r>
      <w:r>
        <w:rPr>
          <w:rFonts w:hint="eastAsia" w:ascii="仿宋_GB2312" w:hAnsi="黑体" w:eastAsia="仿宋_GB2312" w:cs="Times New Roman"/>
          <w:b/>
          <w:bCs/>
          <w:sz w:val="32"/>
          <w:szCs w:val="40"/>
        </w:rPr>
        <w:t>2校企共建专业课程</w:t>
      </w:r>
    </w:p>
    <w:p w14:paraId="2A15F689">
      <w:pPr>
        <w:jc w:val="center"/>
        <w:rPr>
          <w:rFonts w:hint="eastAsia" w:ascii="仿宋_GB2312" w:hAnsi="黑体" w:eastAsia="仿宋_GB2312" w:cs="Times New Roman"/>
          <w:b/>
          <w:bCs/>
          <w:sz w:val="28"/>
          <w:szCs w:val="36"/>
        </w:rPr>
      </w:pPr>
      <w:r>
        <w:rPr>
          <w:rFonts w:ascii="仿宋_GB2312" w:hAnsi="黑体" w:eastAsia="仿宋_GB2312" w:cs="Times New Roman"/>
          <w:b/>
          <w:bCs/>
          <w:sz w:val="28"/>
          <w:szCs w:val="36"/>
        </w:rPr>
        <w:t>6.</w:t>
      </w:r>
      <w:r>
        <w:rPr>
          <w:rFonts w:hint="eastAsia" w:ascii="仿宋_GB2312" w:hAnsi="黑体" w:eastAsia="仿宋_GB2312" w:cs="Times New Roman"/>
          <w:b/>
          <w:bCs/>
          <w:sz w:val="28"/>
          <w:szCs w:val="36"/>
        </w:rPr>
        <w:t>2</w:t>
      </w:r>
      <w:r>
        <w:rPr>
          <w:rFonts w:ascii="仿宋_GB2312" w:hAnsi="黑体" w:eastAsia="仿宋_GB2312" w:cs="Times New Roman"/>
          <w:b/>
          <w:bCs/>
          <w:sz w:val="28"/>
          <w:szCs w:val="36"/>
        </w:rPr>
        <w:t>.</w:t>
      </w:r>
      <w:r>
        <w:rPr>
          <w:rFonts w:hint="eastAsia" w:ascii="仿宋_GB2312" w:hAnsi="黑体" w:eastAsia="仿宋_GB2312" w:cs="Times New Roman"/>
          <w:b/>
          <w:bCs/>
          <w:sz w:val="28"/>
          <w:szCs w:val="36"/>
        </w:rPr>
        <w:t>3</w:t>
      </w:r>
      <w:r>
        <w:rPr>
          <w:rFonts w:ascii="仿宋_GB2312" w:hAnsi="黑体" w:eastAsia="仿宋_GB2312" w:cs="Times New Roman"/>
          <w:b/>
          <w:bCs/>
          <w:sz w:val="28"/>
          <w:szCs w:val="36"/>
        </w:rPr>
        <w:t>.</w:t>
      </w:r>
      <w:r>
        <w:rPr>
          <w:rFonts w:hint="eastAsia" w:ascii="仿宋_GB2312" w:hAnsi="黑体" w:eastAsia="仿宋_GB2312" w:cs="Times New Roman"/>
          <w:b/>
          <w:bCs/>
          <w:sz w:val="28"/>
          <w:szCs w:val="36"/>
        </w:rPr>
        <w:t>2</w:t>
      </w:r>
      <w:r>
        <w:rPr>
          <w:rFonts w:ascii="仿宋_GB2312" w:hAnsi="黑体" w:eastAsia="仿宋_GB2312" w:cs="Times New Roman"/>
          <w:b/>
          <w:bCs/>
          <w:sz w:val="28"/>
          <w:szCs w:val="36"/>
        </w:rPr>
        <w:t>.</w:t>
      </w:r>
      <w:r>
        <w:rPr>
          <w:rFonts w:hint="eastAsia" w:ascii="仿宋_GB2312" w:hAnsi="黑体" w:eastAsia="仿宋_GB2312" w:cs="Times New Roman"/>
          <w:b/>
          <w:bCs/>
          <w:sz w:val="28"/>
          <w:szCs w:val="36"/>
        </w:rPr>
        <w:t>2校企联合开发主干课程标准一览表</w:t>
      </w:r>
    </w:p>
    <w:p w14:paraId="75C6A98D">
      <w:pPr>
        <w:jc w:val="center"/>
        <w:rPr>
          <w:rFonts w:hint="eastAsia" w:ascii="仿宋_GB2312" w:hAnsi="黑体" w:eastAsia="仿宋_GB2312" w:cs="Times New Roman"/>
          <w:b/>
          <w:bCs/>
          <w:sz w:val="28"/>
          <w:szCs w:val="36"/>
          <w:lang w:val="en-US" w:eastAsia="zh-CN"/>
        </w:rPr>
      </w:pPr>
      <w:r>
        <w:rPr>
          <w:rFonts w:hint="eastAsia" w:ascii="仿宋_GB2312" w:hAnsi="黑体" w:eastAsia="仿宋_GB2312" w:cs="Times New Roman"/>
          <w:b/>
          <w:bCs/>
          <w:sz w:val="28"/>
          <w:szCs w:val="36"/>
          <w:lang w:val="en-US" w:eastAsia="zh-CN"/>
        </w:rPr>
        <w:t>综述</w:t>
      </w:r>
    </w:p>
    <w:p w14:paraId="72CA4311">
      <w:pPr>
        <w:widowControl/>
        <w:spacing w:line="360" w:lineRule="auto"/>
        <w:ind w:firstLine="560" w:firstLineChars="200"/>
        <w:jc w:val="left"/>
        <w:rPr>
          <w:rFonts w:ascii="仿宋" w:hAnsi="仿宋" w:eastAsia="仿宋" w:cs="仿宋"/>
          <w:kern w:val="0"/>
          <w:sz w:val="28"/>
          <w:szCs w:val="28"/>
        </w:rPr>
      </w:pPr>
      <w:r>
        <w:rPr>
          <w:rFonts w:hint="eastAsia" w:ascii="仿宋" w:hAnsi="仿宋" w:eastAsia="仿宋" w:cs="仿宋"/>
          <w:kern w:val="0"/>
          <w:sz w:val="28"/>
          <w:szCs w:val="28"/>
        </w:rPr>
        <w:t>专业以教育部1+X试点项目为引领，构建校企联合制定的人才培养岗位课程体系，开发Linux服务器设置、数据分析与处理、Windows服务器设置、移动应用APP开发等8门校企融通岗位培养课程标准。</w:t>
      </w:r>
    </w:p>
    <w:p w14:paraId="547BE327">
      <w:pPr>
        <w:widowControl/>
        <w:spacing w:line="360" w:lineRule="auto"/>
        <w:ind w:firstLine="560" w:firstLineChars="200"/>
        <w:jc w:val="left"/>
        <w:rPr>
          <w:rFonts w:ascii="仿宋" w:hAnsi="仿宋" w:eastAsia="仿宋" w:cs="仿宋"/>
          <w:kern w:val="0"/>
          <w:sz w:val="28"/>
          <w:szCs w:val="28"/>
        </w:rPr>
      </w:pPr>
    </w:p>
    <w:p w14:paraId="2FC6324D">
      <w:pPr>
        <w:widowControl/>
        <w:spacing w:line="360" w:lineRule="auto"/>
        <w:ind w:firstLine="560" w:firstLineChars="200"/>
        <w:jc w:val="left"/>
        <w:rPr>
          <w:rFonts w:ascii="仿宋" w:hAnsi="仿宋" w:eastAsia="仿宋" w:cs="仿宋"/>
          <w:kern w:val="0"/>
          <w:sz w:val="28"/>
          <w:szCs w:val="28"/>
        </w:rPr>
      </w:pPr>
    </w:p>
    <w:p w14:paraId="6184735C">
      <w:pPr>
        <w:pStyle w:val="14"/>
        <w:tabs>
          <w:tab w:val="right" w:leader="dot" w:pos="8306"/>
        </w:tabs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fldChar w:fldCharType="begin"/>
      </w:r>
      <w:r>
        <w:rPr>
          <w:rFonts w:hint="eastAsia" w:ascii="仿宋_GB2312" w:hAnsi="仿宋_GB2312" w:eastAsia="仿宋_GB2312" w:cs="仿宋_GB2312"/>
          <w:sz w:val="32"/>
          <w:szCs w:val="32"/>
        </w:rPr>
        <w:instrText xml:space="preserve">TOC \o "1-1" \h \u </w:instrText>
      </w:r>
      <w:r>
        <w:rPr>
          <w:rFonts w:hint="eastAsia" w:ascii="仿宋_GB2312" w:hAnsi="仿宋_GB2312" w:eastAsia="仿宋_GB2312" w:cs="仿宋_GB2312"/>
          <w:sz w:val="32"/>
          <w:szCs w:val="32"/>
        </w:rPr>
        <w:fldChar w:fldCharType="separate"/>
      </w:r>
      <w:r>
        <w:fldChar w:fldCharType="begin"/>
      </w:r>
      <w:r>
        <w:instrText xml:space="preserve"> HYPERLINK \l "_Toc11804" </w:instrText>
      </w:r>
      <w:r>
        <w:fldChar w:fldCharType="separate"/>
      </w:r>
      <w:r>
        <w:rPr>
          <w:rFonts w:hint="eastAsia" w:ascii="仿宋_GB2312" w:hAnsi="仿宋_GB2312" w:eastAsia="仿宋_GB2312" w:cs="仿宋_GB2312"/>
          <w:sz w:val="32"/>
          <w:szCs w:val="32"/>
        </w:rPr>
        <w:t>《Linux服务器设置》课程标准</w:t>
      </w:r>
      <w:r>
        <w:rPr>
          <w:rFonts w:hint="eastAsia" w:ascii="仿宋_GB2312" w:hAnsi="仿宋_GB2312" w:eastAsia="仿宋_GB2312" w:cs="仿宋_GB2312"/>
          <w:sz w:val="32"/>
          <w:szCs w:val="32"/>
        </w:rPr>
        <w:tab/>
      </w:r>
      <w:r>
        <w:rPr>
          <w:rFonts w:hint="eastAsia" w:ascii="仿宋_GB2312" w:hAnsi="仿宋_GB2312" w:eastAsia="仿宋_GB2312" w:cs="仿宋_GB2312"/>
          <w:sz w:val="32"/>
          <w:szCs w:val="32"/>
        </w:rPr>
        <w:fldChar w:fldCharType="end"/>
      </w:r>
      <w:r>
        <w:rPr>
          <w:rFonts w:hint="eastAsia" w:ascii="仿宋_GB2312" w:hAnsi="仿宋_GB2312" w:eastAsia="仿宋_GB2312" w:cs="仿宋_GB2312"/>
          <w:sz w:val="32"/>
          <w:szCs w:val="32"/>
        </w:rPr>
        <w:t>1</w:t>
      </w:r>
    </w:p>
    <w:p w14:paraId="314A83E3">
      <w:pPr>
        <w:pStyle w:val="14"/>
        <w:tabs>
          <w:tab w:val="right" w:leader="dot" w:pos="8306"/>
        </w:tabs>
        <w:rPr>
          <w:rFonts w:ascii="仿宋_GB2312" w:hAnsi="仿宋_GB2312" w:eastAsia="仿宋_GB2312" w:cs="仿宋_GB2312"/>
          <w:sz w:val="32"/>
          <w:szCs w:val="32"/>
        </w:rPr>
      </w:pPr>
      <w:r>
        <w:fldChar w:fldCharType="begin"/>
      </w:r>
      <w:r>
        <w:instrText xml:space="preserve"> HYPERLINK \l "_Toc28963" </w:instrText>
      </w:r>
      <w:r>
        <w:fldChar w:fldCharType="separate"/>
      </w:r>
      <w:r>
        <w:rPr>
          <w:rFonts w:hint="eastAsia" w:ascii="仿宋_GB2312" w:hAnsi="仿宋_GB2312" w:eastAsia="仿宋_GB2312" w:cs="仿宋_GB2312"/>
          <w:sz w:val="32"/>
          <w:szCs w:val="32"/>
        </w:rPr>
        <w:t>《数据分析与处理》课程标准</w:t>
      </w:r>
      <w:r>
        <w:rPr>
          <w:rFonts w:hint="eastAsia" w:ascii="仿宋_GB2312" w:hAnsi="仿宋_GB2312" w:eastAsia="仿宋_GB2312" w:cs="仿宋_GB2312"/>
          <w:sz w:val="32"/>
          <w:szCs w:val="32"/>
        </w:rPr>
        <w:tab/>
      </w:r>
      <w:r>
        <w:rPr>
          <w:rFonts w:hint="eastAsia" w:ascii="仿宋_GB2312" w:hAnsi="仿宋_GB2312" w:eastAsia="仿宋_GB2312" w:cs="仿宋_GB2312"/>
          <w:sz w:val="32"/>
          <w:szCs w:val="32"/>
        </w:rPr>
        <w:fldChar w:fldCharType="end"/>
      </w:r>
      <w:r>
        <w:rPr>
          <w:rFonts w:hint="eastAsia" w:ascii="仿宋_GB2312" w:hAnsi="仿宋_GB2312" w:eastAsia="仿宋_GB2312" w:cs="仿宋_GB2312"/>
          <w:sz w:val="32"/>
          <w:szCs w:val="32"/>
        </w:rPr>
        <w:t>15</w:t>
      </w:r>
    </w:p>
    <w:p w14:paraId="12B271C9">
      <w:pPr>
        <w:pStyle w:val="14"/>
        <w:tabs>
          <w:tab w:val="right" w:leader="dot" w:pos="8306"/>
        </w:tabs>
        <w:rPr>
          <w:rFonts w:ascii="仿宋_GB2312" w:hAnsi="仿宋_GB2312" w:eastAsia="仿宋_GB2312" w:cs="仿宋_GB2312"/>
          <w:sz w:val="32"/>
          <w:szCs w:val="32"/>
        </w:rPr>
      </w:pPr>
      <w:r>
        <w:fldChar w:fldCharType="begin"/>
      </w:r>
      <w:r>
        <w:instrText xml:space="preserve"> HYPERLINK \l "_Toc11877" </w:instrText>
      </w:r>
      <w:r>
        <w:fldChar w:fldCharType="separate"/>
      </w:r>
      <w:r>
        <w:rPr>
          <w:rFonts w:hint="eastAsia" w:ascii="仿宋_GB2312" w:hAnsi="仿宋_GB2312" w:eastAsia="仿宋_GB2312" w:cs="仿宋_GB2312"/>
          <w:sz w:val="32"/>
          <w:szCs w:val="32"/>
        </w:rPr>
        <w:t>《Windows服务器设置》课程标准</w:t>
      </w:r>
      <w:r>
        <w:rPr>
          <w:rFonts w:hint="eastAsia" w:ascii="仿宋_GB2312" w:hAnsi="仿宋_GB2312" w:eastAsia="仿宋_GB2312" w:cs="仿宋_GB2312"/>
          <w:sz w:val="32"/>
          <w:szCs w:val="32"/>
        </w:rPr>
        <w:tab/>
      </w:r>
      <w:r>
        <w:rPr>
          <w:rFonts w:hint="eastAsia" w:ascii="仿宋_GB2312" w:hAnsi="仿宋_GB2312" w:eastAsia="仿宋_GB2312" w:cs="仿宋_GB2312"/>
          <w:sz w:val="32"/>
          <w:szCs w:val="32"/>
        </w:rPr>
        <w:fldChar w:fldCharType="end"/>
      </w:r>
      <w:r>
        <w:rPr>
          <w:rFonts w:hint="eastAsia" w:ascii="仿宋_GB2312" w:hAnsi="仿宋_GB2312" w:eastAsia="仿宋_GB2312" w:cs="仿宋_GB2312"/>
          <w:sz w:val="32"/>
          <w:szCs w:val="32"/>
        </w:rPr>
        <w:t>26</w:t>
      </w:r>
    </w:p>
    <w:p w14:paraId="62C3E916">
      <w:pPr>
        <w:pStyle w:val="14"/>
        <w:tabs>
          <w:tab w:val="right" w:leader="dot" w:pos="8306"/>
        </w:tabs>
        <w:rPr>
          <w:rFonts w:ascii="仿宋_GB2312" w:hAnsi="仿宋_GB2312" w:eastAsia="仿宋_GB2312" w:cs="仿宋_GB2312"/>
          <w:sz w:val="32"/>
          <w:szCs w:val="32"/>
        </w:rPr>
      </w:pPr>
      <w:r>
        <w:fldChar w:fldCharType="begin"/>
      </w:r>
      <w:r>
        <w:instrText xml:space="preserve"> HYPERLINK \l "_Toc14605" </w:instrText>
      </w:r>
      <w:r>
        <w:fldChar w:fldCharType="separate"/>
      </w:r>
      <w:r>
        <w:rPr>
          <w:rFonts w:hint="eastAsia" w:ascii="仿宋_GB2312" w:hAnsi="仿宋_GB2312" w:eastAsia="仿宋_GB2312" w:cs="仿宋_GB2312"/>
          <w:sz w:val="32"/>
          <w:szCs w:val="32"/>
        </w:rPr>
        <w:t>《移动应用APP开发》课程标准</w:t>
      </w:r>
      <w:r>
        <w:rPr>
          <w:rFonts w:hint="eastAsia" w:ascii="仿宋_GB2312" w:hAnsi="仿宋_GB2312" w:eastAsia="仿宋_GB2312" w:cs="仿宋_GB2312"/>
          <w:sz w:val="32"/>
          <w:szCs w:val="32"/>
        </w:rPr>
        <w:tab/>
      </w:r>
      <w:r>
        <w:rPr>
          <w:rFonts w:hint="eastAsia" w:ascii="仿宋_GB2312" w:hAnsi="仿宋_GB2312" w:eastAsia="仿宋_GB2312" w:cs="仿宋_GB2312"/>
          <w:sz w:val="32"/>
          <w:szCs w:val="32"/>
        </w:rPr>
        <w:fldChar w:fldCharType="end"/>
      </w:r>
      <w:r>
        <w:rPr>
          <w:rFonts w:hint="eastAsia" w:ascii="仿宋_GB2312" w:hAnsi="仿宋_GB2312" w:eastAsia="仿宋_GB2312" w:cs="仿宋_GB2312"/>
          <w:sz w:val="32"/>
          <w:szCs w:val="32"/>
        </w:rPr>
        <w:t>39</w:t>
      </w:r>
    </w:p>
    <w:p w14:paraId="10D1CC42">
      <w:pPr>
        <w:pStyle w:val="14"/>
        <w:tabs>
          <w:tab w:val="right" w:leader="dot" w:pos="8306"/>
        </w:tabs>
        <w:rPr>
          <w:rFonts w:ascii="仿宋_GB2312" w:hAnsi="仿宋_GB2312" w:eastAsia="仿宋_GB2312" w:cs="仿宋_GB2312"/>
          <w:sz w:val="32"/>
          <w:szCs w:val="32"/>
        </w:rPr>
      </w:pPr>
      <w:r>
        <w:fldChar w:fldCharType="begin"/>
      </w:r>
      <w:r>
        <w:instrText xml:space="preserve"> HYPERLINK \l "_Toc4481" </w:instrText>
      </w:r>
      <w:r>
        <w:fldChar w:fldCharType="separate"/>
      </w:r>
      <w:r>
        <w:rPr>
          <w:rFonts w:hint="eastAsia" w:ascii="仿宋_GB2312" w:hAnsi="仿宋_GB2312" w:eastAsia="仿宋_GB2312" w:cs="仿宋_GB2312"/>
          <w:sz w:val="32"/>
          <w:szCs w:val="32"/>
        </w:rPr>
        <w:t>《Web前端开发》课程标准</w:t>
      </w:r>
      <w:r>
        <w:rPr>
          <w:rFonts w:hint="eastAsia" w:ascii="仿宋_GB2312" w:hAnsi="仿宋_GB2312" w:eastAsia="仿宋_GB2312" w:cs="仿宋_GB2312"/>
          <w:sz w:val="32"/>
          <w:szCs w:val="32"/>
        </w:rPr>
        <w:tab/>
      </w:r>
      <w:r>
        <w:rPr>
          <w:rFonts w:hint="eastAsia" w:ascii="仿宋_GB2312" w:hAnsi="仿宋_GB2312" w:eastAsia="仿宋_GB2312" w:cs="仿宋_GB2312"/>
          <w:sz w:val="32"/>
          <w:szCs w:val="32"/>
        </w:rPr>
        <w:fldChar w:fldCharType="end"/>
      </w:r>
      <w:r>
        <w:rPr>
          <w:rFonts w:hint="eastAsia" w:ascii="仿宋_GB2312" w:hAnsi="仿宋_GB2312" w:eastAsia="仿宋_GB2312" w:cs="仿宋_GB2312"/>
          <w:sz w:val="32"/>
          <w:szCs w:val="32"/>
        </w:rPr>
        <w:t>57</w:t>
      </w:r>
    </w:p>
    <w:p w14:paraId="5B95BC98">
      <w:pPr>
        <w:pStyle w:val="14"/>
        <w:tabs>
          <w:tab w:val="right" w:leader="dot" w:pos="8306"/>
        </w:tabs>
        <w:rPr>
          <w:rFonts w:ascii="仿宋_GB2312" w:hAnsi="仿宋_GB2312" w:eastAsia="仿宋_GB2312" w:cs="仿宋_GB2312"/>
          <w:sz w:val="32"/>
          <w:szCs w:val="32"/>
        </w:rPr>
      </w:pPr>
      <w:r>
        <w:fldChar w:fldCharType="begin"/>
      </w:r>
      <w:r>
        <w:instrText xml:space="preserve"> HYPERLINK \l "_Toc8146" </w:instrText>
      </w:r>
      <w:r>
        <w:fldChar w:fldCharType="separate"/>
      </w:r>
      <w:r>
        <w:rPr>
          <w:rFonts w:hint="eastAsia" w:ascii="仿宋_GB2312" w:hAnsi="仿宋_GB2312" w:eastAsia="仿宋_GB2312" w:cs="仿宋_GB2312"/>
          <w:sz w:val="32"/>
          <w:szCs w:val="32"/>
        </w:rPr>
        <w:t>《网络综合布线》课程标准</w:t>
      </w:r>
      <w:r>
        <w:rPr>
          <w:rFonts w:hint="eastAsia" w:ascii="仿宋_GB2312" w:hAnsi="仿宋_GB2312" w:eastAsia="仿宋_GB2312" w:cs="仿宋_GB2312"/>
          <w:sz w:val="32"/>
          <w:szCs w:val="32"/>
        </w:rPr>
        <w:tab/>
      </w:r>
      <w:r>
        <w:rPr>
          <w:rFonts w:hint="eastAsia" w:ascii="仿宋_GB2312" w:hAnsi="仿宋_GB2312" w:eastAsia="仿宋_GB2312" w:cs="仿宋_GB2312"/>
          <w:sz w:val="32"/>
          <w:szCs w:val="32"/>
        </w:rPr>
        <w:fldChar w:fldCharType="end"/>
      </w:r>
      <w:r>
        <w:rPr>
          <w:rFonts w:hint="eastAsia" w:ascii="仿宋_GB2312" w:hAnsi="仿宋_GB2312" w:eastAsia="仿宋_GB2312" w:cs="仿宋_GB2312"/>
          <w:sz w:val="32"/>
          <w:szCs w:val="32"/>
        </w:rPr>
        <w:t>66</w:t>
      </w:r>
    </w:p>
    <w:p w14:paraId="1A70EB0A">
      <w:pPr>
        <w:pStyle w:val="14"/>
        <w:tabs>
          <w:tab w:val="right" w:leader="dot" w:pos="8306"/>
        </w:tabs>
        <w:rPr>
          <w:rFonts w:ascii="仿宋_GB2312" w:hAnsi="仿宋_GB2312" w:eastAsia="仿宋_GB2312" w:cs="仿宋_GB2312"/>
          <w:sz w:val="32"/>
          <w:szCs w:val="32"/>
        </w:rPr>
      </w:pPr>
      <w:r>
        <w:fldChar w:fldCharType="begin"/>
      </w:r>
      <w:r>
        <w:instrText xml:space="preserve"> HYPERLINK \l "_Toc27397" </w:instrText>
      </w:r>
      <w:r>
        <w:fldChar w:fldCharType="separate"/>
      </w:r>
      <w:r>
        <w:rPr>
          <w:rFonts w:hint="eastAsia" w:ascii="仿宋_GB2312" w:hAnsi="仿宋_GB2312" w:eastAsia="仿宋_GB2312" w:cs="仿宋_GB2312"/>
          <w:sz w:val="32"/>
          <w:szCs w:val="32"/>
        </w:rPr>
        <w:t>《路由器与交换机》课程标准</w:t>
      </w:r>
      <w:r>
        <w:rPr>
          <w:rFonts w:hint="eastAsia" w:ascii="仿宋_GB2312" w:hAnsi="仿宋_GB2312" w:eastAsia="仿宋_GB2312" w:cs="仿宋_GB2312"/>
          <w:sz w:val="32"/>
          <w:szCs w:val="32"/>
        </w:rPr>
        <w:tab/>
      </w:r>
      <w:r>
        <w:rPr>
          <w:rFonts w:hint="eastAsia" w:ascii="仿宋_GB2312" w:hAnsi="仿宋_GB2312" w:eastAsia="仿宋_GB2312" w:cs="仿宋_GB2312"/>
          <w:sz w:val="32"/>
          <w:szCs w:val="32"/>
        </w:rPr>
        <w:fldChar w:fldCharType="end"/>
      </w:r>
      <w:r>
        <w:rPr>
          <w:rFonts w:hint="eastAsia" w:ascii="仿宋_GB2312" w:hAnsi="仿宋_GB2312" w:eastAsia="仿宋_GB2312" w:cs="仿宋_GB2312"/>
          <w:sz w:val="32"/>
          <w:szCs w:val="32"/>
        </w:rPr>
        <w:t>82</w:t>
      </w:r>
    </w:p>
    <w:p w14:paraId="78F58D9C">
      <w:pPr>
        <w:pStyle w:val="14"/>
        <w:tabs>
          <w:tab w:val="right" w:leader="dot" w:pos="8306"/>
        </w:tabs>
        <w:rPr>
          <w:rFonts w:ascii="仿宋_GB2312" w:hAnsi="仿宋_GB2312" w:eastAsia="仿宋_GB2312" w:cs="仿宋_GB2312"/>
          <w:sz w:val="32"/>
          <w:szCs w:val="32"/>
        </w:rPr>
      </w:pPr>
      <w:r>
        <w:fldChar w:fldCharType="begin"/>
      </w:r>
      <w:r>
        <w:instrText xml:space="preserve"> HYPERLINK \l "_Toc12133" </w:instrText>
      </w:r>
      <w:r>
        <w:fldChar w:fldCharType="separate"/>
      </w:r>
      <w:r>
        <w:rPr>
          <w:rFonts w:hint="eastAsia" w:ascii="仿宋_GB2312" w:hAnsi="仿宋_GB2312" w:eastAsia="仿宋_GB2312" w:cs="仿宋_GB2312"/>
          <w:sz w:val="32"/>
          <w:szCs w:val="32"/>
        </w:rPr>
        <w:t>《网络系统软件应用与维护》课程标准</w:t>
      </w:r>
      <w:r>
        <w:rPr>
          <w:rFonts w:hint="eastAsia" w:ascii="仿宋_GB2312" w:hAnsi="仿宋_GB2312" w:eastAsia="仿宋_GB2312" w:cs="仿宋_GB2312"/>
          <w:sz w:val="32"/>
          <w:szCs w:val="32"/>
        </w:rPr>
        <w:tab/>
      </w:r>
      <w:r>
        <w:rPr>
          <w:rFonts w:hint="eastAsia" w:ascii="仿宋_GB2312" w:hAnsi="仿宋_GB2312" w:eastAsia="仿宋_GB2312" w:cs="仿宋_GB2312"/>
          <w:sz w:val="32"/>
          <w:szCs w:val="32"/>
        </w:rPr>
        <w:fldChar w:fldCharType="end"/>
      </w:r>
      <w:r>
        <w:rPr>
          <w:rFonts w:hint="eastAsia" w:ascii="仿宋_GB2312" w:hAnsi="仿宋_GB2312" w:eastAsia="仿宋_GB2312" w:cs="仿宋_GB2312"/>
          <w:sz w:val="32"/>
          <w:szCs w:val="32"/>
        </w:rPr>
        <w:t>91</w:t>
      </w:r>
    </w:p>
    <w:p w14:paraId="7F46959A">
      <w:pPr>
        <w:jc w:val="center"/>
      </w:pPr>
      <w:r>
        <w:rPr>
          <w:rFonts w:hint="eastAsia" w:ascii="仿宋_GB2312" w:hAnsi="仿宋_GB2312" w:eastAsia="仿宋_GB2312" w:cs="仿宋_GB2312"/>
          <w:sz w:val="32"/>
          <w:szCs w:val="32"/>
        </w:rPr>
        <w:fldChar w:fldCharType="end"/>
      </w:r>
    </w:p>
    <w:p w14:paraId="51E61F91">
      <w:pPr>
        <w:jc w:val="center"/>
      </w:pPr>
    </w:p>
    <w:p w14:paraId="354BF7CF">
      <w:pPr>
        <w:pStyle w:val="2"/>
        <w:jc w:val="center"/>
        <w:sectPr>
          <w:headerReference r:id="rId3" w:type="default"/>
          <w:pgSz w:w="11906" w:h="16838"/>
          <w:pgMar w:top="1260" w:right="1800" w:bottom="878" w:left="1800" w:header="851" w:footer="992" w:gutter="0"/>
          <w:cols w:space="425" w:num="1"/>
          <w:docGrid w:type="lines" w:linePitch="312" w:charSpace="0"/>
        </w:sectPr>
      </w:pP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17F024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3" w:hRule="atLeast"/>
        </w:trPr>
        <w:tc>
          <w:tcPr>
            <w:tcW w:w="8522" w:type="dxa"/>
          </w:tcPr>
          <w:p w14:paraId="6EF71511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t>《Linux服务器设置》课程标准</w:t>
            </w:r>
          </w:p>
        </w:tc>
      </w:tr>
      <w:tr w14:paraId="51F7CA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522" w:type="dxa"/>
          </w:tcPr>
          <w:p w14:paraId="72C202BA">
            <w:pPr>
              <w:pStyle w:val="2"/>
              <w:jc w:val="center"/>
              <w:rPr>
                <w:rFonts w:ascii="宋体" w:hAnsi="宋体" w:eastAsia="宋体" w:cs="宋体"/>
                <w:sz w:val="36"/>
                <w:szCs w:val="21"/>
              </w:rPr>
            </w:pPr>
            <w:r>
              <w:drawing>
                <wp:inline distT="0" distB="0" distL="114300" distR="114300">
                  <wp:extent cx="5269230" cy="6599555"/>
                  <wp:effectExtent l="0" t="0" r="7620" b="10795"/>
                  <wp:docPr id="3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9230" cy="659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36" name="图片 36" descr="6.计算机网络技术专业《Linux服务器设置》课程标准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6.计算机网络技术专业《Linux服务器设置》课程标准_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35" name="图片 35" descr="6.计算机网络技术专业《Linux服务器设置》课程标准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6.计算机网络技术专业《Linux服务器设置》课程标准_0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34" name="图片 34" descr="6.计算机网络技术专业《Linux服务器设置》课程标准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6.计算机网络技术专业《Linux服务器设置》课程标准_0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33" name="图片 33" descr="6.计算机网络技术专业《Linux服务器设置》课程标准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6.计算机网络技术专业《Linux服务器设置》课程标准_0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32" name="图片 32" descr="6.计算机网络技术专业《Linux服务器设置》课程标准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6.计算机网络技术专业《Linux服务器设置》课程标准_0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31" name="图片 31" descr="6.计算机网络技术专业《Linux服务器设置》课程标准_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6.计算机网络技术专业《Linux服务器设置》课程标准_0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30" name="图片 30" descr="6.计算机网络技术专业《Linux服务器设置》课程标准_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6.计算机网络技术专业《Linux服务器设置》课程标准_0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29" name="图片 29" descr="6.计算机网络技术专业《Linux服务器设置》课程标准_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6.计算机网络技术专业《Linux服务器设置》课程标准_0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28" name="图片 28" descr="6.计算机网络技术专业《Linux服务器设置》课程标准_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6.计算机网络技术专业《Linux服务器设置》课程标准_0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27" name="图片 27" descr="6.计算机网络技术专业《Linux服务器设置》课程标准_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6.计算机网络技术专业《Linux服务器设置》课程标准_1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26" name="图片 26" descr="6.计算机网络技术专业《Linux服务器设置》课程标准_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6.计算机网络技术专业《Linux服务器设置》课程标准_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25" name="图片 25" descr="6.计算机网络技术专业《Linux服务器设置》课程标准_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6.计算机网络技术专业《Linux服务器设置》课程标准_1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36"/>
                <w:szCs w:val="21"/>
              </w:rPr>
              <w:drawing>
                <wp:inline distT="0" distB="0" distL="114300" distR="114300">
                  <wp:extent cx="5271135" cy="7453630"/>
                  <wp:effectExtent l="0" t="0" r="5715" b="13970"/>
                  <wp:docPr id="24" name="图片 24" descr="6.计算机网络技术专业《Linux服务器设置》课程标准_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6.计算机网络技术专业《Linux服务器设置》课程标准_1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745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EF835F">
            <w:pPr>
              <w:rPr>
                <w:rFonts w:ascii="宋体" w:hAnsi="宋体" w:eastAsia="宋体" w:cs="宋体"/>
                <w:sz w:val="36"/>
                <w:szCs w:val="21"/>
              </w:rPr>
            </w:pPr>
          </w:p>
          <w:p w14:paraId="5A8F9945"/>
        </w:tc>
      </w:tr>
      <w:tr w14:paraId="7FB3F8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2A0E3FD8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t>《数据分析与处理》课程标准</w:t>
            </w:r>
          </w:p>
        </w:tc>
      </w:tr>
      <w:tr w14:paraId="0F158E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63E9449">
            <w:pPr>
              <w:pStyle w:val="2"/>
              <w:jc w:val="center"/>
            </w:pP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49" name="图片 49" descr="9.计算机网络技术专业《数据分析与处理》课程标准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9.计算机网络技术专业《数据分析与处理》课程标准_0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48" name="图片 48" descr="9.计算机网络技术专业《数据分析与处理》课程标准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9.计算机网络技术专业《数据分析与处理》课程标准_0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47" name="图片 47" descr="9.计算机网络技术专业《数据分析与处理》课程标准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9.计算机网络技术专业《数据分析与处理》课程标准_0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46" name="图片 46" descr="9.计算机网络技术专业《数据分析与处理》课程标准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9.计算机网络技术专业《数据分析与处理》课程标准_0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45" name="图片 45" descr="9.计算机网络技术专业《数据分析与处理》课程标准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9.计算机网络技术专业《数据分析与处理》课程标准_0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44" name="图片 44" descr="9.计算机网络技术专业《数据分析与处理》课程标准_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9.计算机网络技术专业《数据分析与处理》课程标准_0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43" name="图片 43" descr="9.计算机网络技术专业《数据分析与处理》课程标准_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9.计算机网络技术专业《数据分析与处理》课程标准_0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42" name="图片 42" descr="9.计算机网络技术专业《数据分析与处理》课程标准_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9.计算机网络技术专业《数据分析与处理》课程标准_0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41" name="图片 41" descr="9.计算机网络技术专业《数据分析与处理》课程标准_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9.计算机网络技术专业《数据分析与处理》课程标准_0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40" name="图片 40" descr="9.计算机网络技术专业《数据分析与处理》课程标准_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9.计算机网络技术专业《数据分析与处理》课程标准_1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39" name="图片 39" descr="9.计算机网络技术专业《数据分析与处理》课程标准_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9.计算机网络技术专业《数据分析与处理》课程标准_1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CB7E7A"/>
          <w:p w14:paraId="2EBFCC83">
            <w:pPr>
              <w:pStyle w:val="2"/>
            </w:pPr>
          </w:p>
        </w:tc>
      </w:tr>
      <w:tr w14:paraId="321831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49007869">
            <w:pPr>
              <w:pStyle w:val="2"/>
              <w:jc w:val="center"/>
            </w:pPr>
            <w:r>
              <w:rPr>
                <w:rFonts w:hint="eastAsia"/>
              </w:rPr>
              <w:t>《Windows服务器设置》课程标准</w:t>
            </w:r>
          </w:p>
        </w:tc>
      </w:tr>
      <w:tr w14:paraId="4FF822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532E802">
            <w:pPr>
              <w:pStyle w:val="2"/>
              <w:jc w:val="center"/>
            </w:pP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88" name="图片 88" descr="3.计算机网络技术专业《Windows服务器设置》课程标准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3.计算机网络技术专业《Windows服务器设置》课程标准_0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87" name="图片 87" descr="3.计算机网络技术专业《Windows服务器设置》课程标准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3.计算机网络技术专业《Windows服务器设置》课程标准_0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86" name="图片 86" descr="3.计算机网络技术专业《Windows服务器设置》课程标准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3.计算机网络技术专业《Windows服务器设置》课程标准_0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85" name="图片 85" descr="3.计算机网络技术专业《Windows服务器设置》课程标准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3.计算机网络技术专业《Windows服务器设置》课程标准_0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84" name="图片 84" descr="3.计算机网络技术专业《Windows服务器设置》课程标准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3.计算机网络技术专业《Windows服务器设置》课程标准_0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83" name="图片 83" descr="3.计算机网络技术专业《Windows服务器设置》课程标准_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3.计算机网络技术专业《Windows服务器设置》课程标准_0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82" name="图片 82" descr="3.计算机网络技术专业《Windows服务器设置》课程标准_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3.计算机网络技术专业《Windows服务器设置》课程标准_0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81" name="图片 81" descr="3.计算机网络技术专业《Windows服务器设置》课程标准_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3.计算机网络技术专业《Windows服务器设置》课程标准_0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80" name="图片 80" descr="3.计算机网络技术专业《Windows服务器设置》课程标准_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3.计算机网络技术专业《Windows服务器设置》课程标准_0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79" name="图片 79" descr="3.计算机网络技术专业《Windows服务器设置》课程标准_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3.计算机网络技术专业《Windows服务器设置》课程标准_1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78" name="图片 78" descr="3.计算机网络技术专业《Windows服务器设置》课程标准_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3.计算机网络技术专业《Windows服务器设置》课程标准_1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77" name="图片 77" descr="3.计算机网络技术专业《Windows服务器设置》课程标准_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3.计算机网络技术专业《Windows服务器设置》课程标准_1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76" name="图片 76" descr="3.计算机网络技术专业《Windows服务器设置》课程标准_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3.计算机网络技术专业《Windows服务器设置》课程标准_1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FB8E7C"/>
          <w:p w14:paraId="09960B42">
            <w:pPr>
              <w:pStyle w:val="2"/>
            </w:pPr>
          </w:p>
          <w:p w14:paraId="5C3A9F25"/>
        </w:tc>
      </w:tr>
      <w:tr w14:paraId="590D23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D5C4D44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t>《移动应用APP开发》课程标准</w:t>
            </w:r>
          </w:p>
        </w:tc>
      </w:tr>
      <w:tr w14:paraId="424163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8136634">
            <w:pPr>
              <w:pStyle w:val="2"/>
              <w:jc w:val="center"/>
            </w:pP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06" name="图片 106" descr="5.计算机网络技术专业《移动应用APP开发》课程标准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 descr="5.计算机网络技术专业《移动应用APP开发》课程标准_01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05" name="图片 105" descr="5.计算机网络技术专业《移动应用APP开发》课程标准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 descr="5.计算机网络技术专业《移动应用APP开发》课程标准_02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04" name="图片 104" descr="5.计算机网络技术专业《移动应用APP开发》课程标准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 descr="5.计算机网络技术专业《移动应用APP开发》课程标准_0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03" name="图片 103" descr="5.计算机网络技术专业《移动应用APP开发》课程标准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 descr="5.计算机网络技术专业《移动应用APP开发》课程标准_04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02" name="图片 102" descr="5.计算机网络技术专业《移动应用APP开发》课程标准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 descr="5.计算机网络技术专业《移动应用APP开发》课程标准_0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01" name="图片 101" descr="5.计算机网络技术专业《移动应用APP开发》课程标准_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 descr="5.计算机网络技术专业《移动应用APP开发》课程标准_06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00" name="图片 100" descr="5.计算机网络技术专业《移动应用APP开发》课程标准_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5.计算机网络技术专业《移动应用APP开发》课程标准_07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99" name="图片 99" descr="5.计算机网络技术专业《移动应用APP开发》课程标准_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5.计算机网络技术专业《移动应用APP开发》课程标准_08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98" name="图片 98" descr="5.计算机网络技术专业《移动应用APP开发》课程标准_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5.计算机网络技术专业《移动应用APP开发》课程标准_09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97" name="图片 97" descr="5.计算机网络技术专业《移动应用APP开发》课程标准_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 descr="5.计算机网络技术专业《移动应用APP开发》课程标准_10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96" name="图片 96" descr="5.计算机网络技术专业《移动应用APP开发》课程标准_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5.计算机网络技术专业《移动应用APP开发》课程标准_11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95" name="图片 95" descr="5.计算机网络技术专业《移动应用APP开发》课程标准_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5.计算机网络技术专业《移动应用APP开发》课程标准_1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94" name="图片 94" descr="5.计算机网络技术专业《移动应用APP开发》课程标准_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5.计算机网络技术专业《移动应用APP开发》课程标准_13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93" name="图片 93" descr="5.计算机网络技术专业《移动应用APP开发》课程标准_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5.计算机网络技术专业《移动应用APP开发》课程标准_14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92" name="图片 92" descr="5.计算机网络技术专业《移动应用APP开发》课程标准_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5.计算机网络技术专业《移动应用APP开发》课程标准_15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91" name="图片 91" descr="5.计算机网络技术专业《移动应用APP开发》课程标准_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5.计算机网络技术专业《移动应用APP开发》课程标准_16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90" name="图片 90" descr="5.计算机网络技术专业《移动应用APP开发》课程标准_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5.计算机网络技术专业《移动应用APP开发》课程标准_17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89" name="图片 89" descr="5.计算机网络技术专业《移动应用APP开发》课程标准_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5.计算机网络技术专业《移动应用APP开发》课程标准_18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44BF8B"/>
          <w:p w14:paraId="27750B7E">
            <w:pPr>
              <w:pStyle w:val="2"/>
            </w:pPr>
          </w:p>
          <w:p w14:paraId="5046AC00"/>
        </w:tc>
      </w:tr>
      <w:tr w14:paraId="519F71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2" w:hRule="atLeast"/>
        </w:trPr>
        <w:tc>
          <w:tcPr>
            <w:tcW w:w="8522" w:type="dxa"/>
            <w:vAlign w:val="center"/>
          </w:tcPr>
          <w:p w14:paraId="61A35276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t>《Web前端开发》课程标准</w:t>
            </w:r>
          </w:p>
        </w:tc>
      </w:tr>
      <w:tr w14:paraId="5B12F8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CC3C6EB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15" name="图片 115" descr="11.计算机网络技术专业《Web前端开发》课程标准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11.计算机网络技术专业《Web前端开发》课程标准_01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14" name="图片 114" descr="11.计算机网络技术专业《Web前端开发》课程标准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11.计算机网络技术专业《Web前端开发》课程标准_02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13" name="图片 113" descr="11.计算机网络技术专业《Web前端开发》课程标准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 descr="11.计算机网络技术专业《Web前端开发》课程标准_03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12" name="图片 112" descr="11.计算机网络技术专业《Web前端开发》课程标准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11.计算机网络技术专业《Web前端开发》课程标准_04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11" name="图片 111" descr="11.计算机网络技术专业《Web前端开发》课程标准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11.计算机网络技术专业《Web前端开发》课程标准_05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10" name="图片 110" descr="11.计算机网络技术专业《Web前端开发》课程标准_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11.计算机网络技术专业《Web前端开发》课程标准_06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09" name="图片 109" descr="11.计算机网络技术专业《Web前端开发》课程标准_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 descr="11.计算机网络技术专业《Web前端开发》课程标准_07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08" name="图片 108" descr="11.计算机网络技术专业《Web前端开发》课程标准_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11.计算机网络技术专业《Web前端开发》课程标准_08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07" name="图片 107" descr="11.计算机网络技术专业《Web前端开发》课程标准_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 descr="11.计算机网络技术专业《Web前端开发》课程标准_09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30D99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</w:p>
          <w:p w14:paraId="491D7388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</w:p>
          <w:p w14:paraId="09E61727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t>《网络综合布线》课程标准</w:t>
            </w:r>
          </w:p>
        </w:tc>
      </w:tr>
      <w:tr w14:paraId="0AE753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01D33AD6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31" name="图片 131" descr="7.计算机网络技术专业《网络综合布线》课程标准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 descr="7.计算机网络技术专业《网络综合布线》课程标准_01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30" name="图片 130" descr="7.计算机网络技术专业《网络综合布线》课程标准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 descr="7.计算机网络技术专业《网络综合布线》课程标准_02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29" name="图片 129" descr="7.计算机网络技术专业《网络综合布线》课程标准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 descr="7.计算机网络技术专业《网络综合布线》课程标准_03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28" name="图片 128" descr="7.计算机网络技术专业《网络综合布线》课程标准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 descr="7.计算机网络技术专业《网络综合布线》课程标准_04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27" name="图片 127" descr="7.计算机网络技术专业《网络综合布线》课程标准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 descr="7.计算机网络技术专业《网络综合布线》课程标准_05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26" name="图片 126" descr="7.计算机网络技术专业《网络综合布线》课程标准_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 descr="7.计算机网络技术专业《网络综合布线》课程标准_06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25" name="图片 125" descr="7.计算机网络技术专业《网络综合布线》课程标准_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 descr="7.计算机网络技术专业《网络综合布线》课程标准_07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24" name="图片 124" descr="7.计算机网络技术专业《网络综合布线》课程标准_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 descr="7.计算机网络技术专业《网络综合布线》课程标准_08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23" name="图片 123" descr="7.计算机网络技术专业《网络综合布线》课程标准_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 descr="7.计算机网络技术专业《网络综合布线》课程标准_09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22" name="图片 122" descr="7.计算机网络技术专业《网络综合布线》课程标准_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 descr="7.计算机网络技术专业《网络综合布线》课程标准_10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21" name="图片 121" descr="7.计算机网络技术专业《网络综合布线》课程标准_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 descr="7.计算机网络技术专业《网络综合布线》课程标准_11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20" name="图片 120" descr="7.计算机网络技术专业《网络综合布线》课程标准_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 descr="7.计算机网络技术专业《网络综合布线》课程标准_12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19" name="图片 119" descr="7.计算机网络技术专业《网络综合布线》课程标准_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 descr="7.计算机网络技术专业《网络综合布线》课程标准_13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18" name="图片 118" descr="7.计算机网络技术专业《网络综合布线》课程标准_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 descr="7.计算机网络技术专业《网络综合布线》课程标准_14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17" name="图片 117" descr="7.计算机网络技术专业《网络综合布线》课程标准_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7.计算机网络技术专业《网络综合布线》课程标准_15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16" name="图片 116" descr="7.计算机网络技术专业《网络综合布线》课程标准_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7.计算机网络技术专业《网络综合布线》课程标准_16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84E768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</w:p>
          <w:p w14:paraId="48AE3515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</w:p>
          <w:p w14:paraId="5E374F3A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t>《路由器与交换机》课程标准</w:t>
            </w:r>
          </w:p>
        </w:tc>
      </w:tr>
      <w:tr w14:paraId="18E9B2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7863F8D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  <w:bookmarkStart w:id="0" w:name="_GoBack"/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40" name="图片 140" descr="4.计算机网络技术专业《路由器与交换机设置》课程标准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0" descr="4.计算机网络技术专业《路由器与交换机设置》课程标准_01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39" name="图片 139" descr="4.计算机网络技术专业《路由器与交换机设置》课程标准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9" descr="4.计算机网络技术专业《路由器与交换机设置》课程标准_02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38" name="图片 138" descr="4.计算机网络技术专业《路由器与交换机设置》课程标准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8" descr="4.计算机网络技术专业《路由器与交换机设置》课程标准_03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37" name="图片 137" descr="4.计算机网络技术专业《路由器与交换机设置》课程标准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 descr="4.计算机网络技术专业《路由器与交换机设置》课程标准_04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36" name="图片 136" descr="4.计算机网络技术专业《路由器与交换机设置》课程标准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 descr="4.计算机网络技术专业《路由器与交换机设置》课程标准_05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35" name="图片 135" descr="4.计算机网络技术专业《路由器与交换机设置》课程标准_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 descr="4.计算机网络技术专业《路由器与交换机设置》课程标准_06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34" name="图片 134" descr="4.计算机网络技术专业《路由器与交换机设置》课程标准_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4" descr="4.计算机网络技术专业《路由器与交换机设置》课程标准_07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33" name="图片 133" descr="4.计算机网络技术专业《路由器与交换机设置》课程标准_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 descr="4.计算机网络技术专业《路由器与交换机设置》课程标准_08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32" name="图片 132" descr="4.计算机网络技术专业《路由器与交换机设置》课程标准_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 descr="4.计算机网络技术专业《路由器与交换机设置》课程标准_09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40F5E4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</w:p>
          <w:p w14:paraId="6B25F45B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</w:p>
          <w:p w14:paraId="2A1C40AB">
            <w:pPr>
              <w:pStyle w:val="3"/>
              <w:jc w:val="center"/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b/>
                <w:bCs w:val="0"/>
                <w:kern w:val="44"/>
                <w:sz w:val="32"/>
                <w:szCs w:val="32"/>
              </w:rPr>
              <w:t>《网络系统软件应用与维护》课程标准</w:t>
            </w:r>
          </w:p>
        </w:tc>
      </w:tr>
      <w:bookmarkEnd w:id="0"/>
      <w:tr w14:paraId="6CAACF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587070F8"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52" name="图片 152" descr="8.计算机网络技术专业《网络系统软件应用与维护》课程标准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 descr="8.计算机网络技术专业《网络系统软件应用与维护》课程标准_01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51" name="图片 151" descr="8.计算机网络技术专业《网络系统软件应用与维护》课程标准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 descr="8.计算机网络技术专业《网络系统软件应用与维护》课程标准_02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50" name="图片 150" descr="8.计算机网络技术专业《网络系统软件应用与维护》课程标准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 descr="8.计算机网络技术专业《网络系统软件应用与维护》课程标准_03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49" name="图片 149" descr="8.计算机网络技术专业《网络系统软件应用与维护》课程标准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 descr="8.计算机网络技术专业《网络系统软件应用与维护》课程标准_04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48" name="图片 148" descr="8.计算机网络技术专业《网络系统软件应用与维护》课程标准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 descr="8.计算机网络技术专业《网络系统软件应用与维护》课程标准_05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47" name="图片 147" descr="8.计算机网络技术专业《网络系统软件应用与维护》课程标准_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 descr="8.计算机网络技术专业《网络系统软件应用与维护》课程标准_06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46" name="图片 146" descr="8.计算机网络技术专业《网络系统软件应用与维护》课程标准_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 descr="8.计算机网络技术专业《网络系统软件应用与维护》课程标准_07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45" name="图片 145" descr="8.计算机网络技术专业《网络系统软件应用与维护》课程标准_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5" descr="8.计算机网络技术专业《网络系统软件应用与维护》课程标准_08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44" name="图片 144" descr="8.计算机网络技术专业《网络系统软件应用与维护》课程标准_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 descr="8.计算机网络技术专业《网络系统软件应用与维护》课程标准_09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43" name="图片 143" descr="8.计算机网络技术专业《网络系统软件应用与维护》课程标准_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 descr="8.计算机网络技术专业《网络系统软件应用与维护》课程标准_10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42" name="图片 142" descr="8.计算机网络技术专业《网络系统软件应用与维护》课程标准_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 descr="8.计算机网络技术专业《网络系统软件应用与维护》课程标准_11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drawing>
                <wp:inline distT="0" distB="0" distL="114300" distR="114300">
                  <wp:extent cx="5267960" cy="7452360"/>
                  <wp:effectExtent l="0" t="0" r="8890" b="15240"/>
                  <wp:docPr id="141" name="图片 141" descr="8.计算机网络技术专业《网络系统软件应用与维护》课程标准_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1" descr="8.计算机网络技术专业《网络系统软件应用与维护》课程标准_12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960" cy="745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F8B920">
      <w:pPr>
        <w:pStyle w:val="2"/>
      </w:pPr>
    </w:p>
    <w:sectPr>
      <w:footerReference r:id="rId4" w:type="default"/>
      <w:pgSz w:w="11906" w:h="16838"/>
      <w:pgMar w:top="1260" w:right="1800" w:bottom="878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华文隶书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25E4C4">
    <w:pPr>
      <w:pStyle w:val="5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53" name="文本框 1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D04DBE5"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0lY7tAAAAAFAQAADwAAAAAAAAABACAAAAAiAAAAZHJzL2Rvd25yZXYueG1sUEsBAhQAFAAAAAgA&#10;h07iQGPsdO0tAgAAWQQAAA4AAAAAAAAAAQAgAAAAH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D04DBE5"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004FA27">
    <w:pPr>
      <w:pStyle w:val="6"/>
      <w:pBdr>
        <w:bottom w:val="single" w:color="auto" w:sz="4" w:space="1"/>
      </w:pBdr>
      <w:tabs>
        <w:tab w:val="clear" w:pos="4153"/>
        <w:tab w:val="clear" w:pos="8306"/>
      </w:tabs>
      <w:ind w:left="839" w:leftChars="-399" w:right="-932" w:rightChars="-444" w:hanging="1677" w:hangingChars="466"/>
      <w:jc w:val="left"/>
    </w:pPr>
    <w:r>
      <w:rPr>
        <w:sz w:val="36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3652520</wp:posOffset>
              </wp:positionH>
              <wp:positionV relativeFrom="paragraph">
                <wp:posOffset>-12700</wp:posOffset>
              </wp:positionV>
              <wp:extent cx="1969770" cy="328930"/>
              <wp:effectExtent l="0" t="0" r="11430" b="1397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69770" cy="32893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14:paraId="030739B2">
                          <w:pPr>
                            <w:ind w:right="180"/>
                            <w:jc w:val="right"/>
                            <w:rPr>
                              <w:rFonts w:ascii="华文隶书" w:hAnsi="华文隶书" w:eastAsia="华文隶书" w:cs="华文隶书"/>
                              <w:color w:val="008C3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 w:ascii="华文隶书" w:hAnsi="华文隶书" w:eastAsia="华文隶书" w:cs="华文隶书"/>
                              <w:color w:val="008C37"/>
                              <w:sz w:val="18"/>
                              <w:szCs w:val="18"/>
                            </w:rPr>
                            <w:t>计算机网络专业双精准材料</w:t>
                          </w:r>
                        </w:p>
                      </w:txbxContent>
                    </wps:txbx>
                    <wps:bodyPr upright="1"/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287.6pt;margin-top:-1pt;height:25.9pt;width:155.1pt;z-index:251659264;mso-width-relative:page;mso-height-relative:page;" fillcolor="#FFFFFF" filled="t" stroked="f" coordsize="21600,21600" o:gfxdata="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aOhFC9gAAAAJAQAADwAAAAAAAAABACAAAAAiAAAAZHJzL2Rvd25yZXYu&#10;eG1sUEsBAhQAFAAAAAgAh07iQLxmiKDCAQAAdwMAAA4AAAAAAAAAAQAgAAAAJwEAAGRycy9lMm9E&#10;b2MueG1sUEsFBgAAAAAGAAYAWQEAAFsFAAAAAA==&#10;">
              <v:fill on="t" focussize="0,0"/>
              <v:stroke on="f"/>
              <v:imagedata o:title=""/>
              <o:lock v:ext="edit" aspectratio="f"/>
              <v:textbox>
                <w:txbxContent>
                  <w:p w14:paraId="030739B2">
                    <w:pPr>
                      <w:ind w:right="180"/>
                      <w:jc w:val="right"/>
                      <w:rPr>
                        <w:rFonts w:ascii="华文隶书" w:hAnsi="华文隶书" w:eastAsia="华文隶书" w:cs="华文隶书"/>
                        <w:color w:val="008C37"/>
                        <w:sz w:val="18"/>
                        <w:szCs w:val="18"/>
                      </w:rPr>
                    </w:pPr>
                    <w:r>
                      <w:rPr>
                        <w:rFonts w:hint="eastAsia" w:ascii="华文隶书" w:hAnsi="华文隶书" w:eastAsia="华文隶书" w:cs="华文隶书"/>
                        <w:color w:val="008C37"/>
                        <w:sz w:val="18"/>
                        <w:szCs w:val="18"/>
                      </w:rPr>
                      <w:t>计算机网络专业双精准材料</w:t>
                    </w:r>
                  </w:p>
                </w:txbxContent>
              </v:textbox>
            </v:shape>
          </w:pict>
        </mc:Fallback>
      </mc:AlternateContent>
    </w:r>
    <w:r>
      <w:rPr>
        <w:rFonts w:ascii="楷体_GB2312" w:eastAsia="楷体_GB2312"/>
      </w:rPr>
      <w:drawing>
        <wp:inline distT="0" distB="0" distL="114300" distR="114300">
          <wp:extent cx="2592070" cy="305435"/>
          <wp:effectExtent l="0" t="0" r="17780" b="18415"/>
          <wp:docPr id="3" name="图片 1" descr="华材标志（091208）-曲线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1" descr="华材标志（091208）-曲线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592070" cy="305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楷体_GB2312" w:eastAsia="楷体_GB2312"/>
      </w:rPr>
      <w:t xml:space="preserve">                             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hkNzkwMmQxZjExYTUwMzM4ZGM5N2VhZmRkOTJlYTgifQ=="/>
  </w:docVars>
  <w:rsids>
    <w:rsidRoot w:val="324F77CF"/>
    <w:rsid w:val="0018216E"/>
    <w:rsid w:val="0019473A"/>
    <w:rsid w:val="00322EE1"/>
    <w:rsid w:val="003602ED"/>
    <w:rsid w:val="005D64C5"/>
    <w:rsid w:val="0061399E"/>
    <w:rsid w:val="00824EC0"/>
    <w:rsid w:val="00850E44"/>
    <w:rsid w:val="00A53487"/>
    <w:rsid w:val="00CA6E62"/>
    <w:rsid w:val="00CD18AC"/>
    <w:rsid w:val="00DF067B"/>
    <w:rsid w:val="00EE51C2"/>
    <w:rsid w:val="00F9593F"/>
    <w:rsid w:val="00FB4BAB"/>
    <w:rsid w:val="00FD09D3"/>
    <w:rsid w:val="01F40D1D"/>
    <w:rsid w:val="03BD68C5"/>
    <w:rsid w:val="0AC32EC6"/>
    <w:rsid w:val="0B437BEC"/>
    <w:rsid w:val="0DBD3BB3"/>
    <w:rsid w:val="0F8515F0"/>
    <w:rsid w:val="110C3AE6"/>
    <w:rsid w:val="15535E9A"/>
    <w:rsid w:val="202C1971"/>
    <w:rsid w:val="23D9056B"/>
    <w:rsid w:val="324F77CF"/>
    <w:rsid w:val="38493CB2"/>
    <w:rsid w:val="39C84AE1"/>
    <w:rsid w:val="3B3E3FFC"/>
    <w:rsid w:val="512B4071"/>
    <w:rsid w:val="591253E7"/>
    <w:rsid w:val="5EC01666"/>
    <w:rsid w:val="65D463BA"/>
    <w:rsid w:val="78E91551"/>
    <w:rsid w:val="7A9D6321"/>
    <w:rsid w:val="CCF762E0"/>
    <w:rsid w:val="F7659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annotation text"/>
    <w:basedOn w:val="1"/>
    <w:link w:val="12"/>
    <w:autoRedefine/>
    <w:qFormat/>
    <w:uiPriority w:val="0"/>
    <w:pPr>
      <w:jc w:val="left"/>
    </w:pPr>
  </w:style>
  <w:style w:type="paragraph" w:styleId="5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7">
    <w:name w:val="annotation subject"/>
    <w:basedOn w:val="4"/>
    <w:next w:val="4"/>
    <w:link w:val="13"/>
    <w:autoRedefine/>
    <w:qFormat/>
    <w:uiPriority w:val="0"/>
    <w:rPr>
      <w:b/>
      <w:bCs/>
    </w:rPr>
  </w:style>
  <w:style w:type="table" w:styleId="9">
    <w:name w:val="Table Grid"/>
    <w:basedOn w:val="8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annotation reference"/>
    <w:basedOn w:val="10"/>
    <w:autoRedefine/>
    <w:qFormat/>
    <w:uiPriority w:val="0"/>
    <w:rPr>
      <w:sz w:val="21"/>
      <w:szCs w:val="21"/>
    </w:rPr>
  </w:style>
  <w:style w:type="character" w:customStyle="1" w:styleId="12">
    <w:name w:val="批注文字 字符"/>
    <w:basedOn w:val="10"/>
    <w:link w:val="4"/>
    <w:autoRedefine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13">
    <w:name w:val="批注主题 字符"/>
    <w:basedOn w:val="12"/>
    <w:link w:val="7"/>
    <w:autoRedefine/>
    <w:qFormat/>
    <w:uiPriority w:val="0"/>
    <w:rPr>
      <w:rFonts w:asciiTheme="minorHAnsi" w:hAnsiTheme="minorHAnsi" w:eastAsiaTheme="minorEastAsia" w:cstheme="minorBidi"/>
      <w:b/>
      <w:bCs/>
      <w:kern w:val="2"/>
      <w:sz w:val="21"/>
      <w:szCs w:val="24"/>
    </w:rPr>
  </w:style>
  <w:style w:type="paragraph" w:customStyle="1" w:styleId="14">
    <w:name w:val="WPSOffice手动目录 1"/>
    <w:autoRedefine/>
    <w:qFormat/>
    <w:uiPriority w:val="0"/>
    <w:rPr>
      <w:rFonts w:ascii="Calibri" w:hAnsi="Calibri" w:eastAsia="宋体" w:cs="Times New Roman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theme" Target="theme/theme1.xml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9" Type="http://schemas.openxmlformats.org/officeDocument/2006/relationships/fontTable" Target="fontTable.xml"/><Relationship Id="rId108" Type="http://schemas.openxmlformats.org/officeDocument/2006/relationships/customXml" Target="../customXml/item1.xml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103</Pages>
  <Words>321</Words>
  <Characters>384</Characters>
  <Lines>5</Lines>
  <Paragraphs>1</Paragraphs>
  <TotalTime>1</TotalTime>
  <ScaleCrop>false</ScaleCrop>
  <LinksUpToDate>false</LinksUpToDate>
  <CharactersWithSpaces>392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2021-08-31T14:46:00Z</dcterms:created>
  <dc:creator>坚.伯伯</dc:creator>
  <cp:lastModifiedBy>杨煜新</cp:lastModifiedBy>
  <cp:lastPrinted>2022-06-08T16:42:00Z</cp:lastPrinted>
  <dcterms:modified xsi:type="dcterms:W3CDTF">2024-12-05T06:13:51Z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0E3F1A98975C46878587D7F7CA365A66</vt:lpwstr>
  </property>
  <property fmtid="{D5CDD505-2E9C-101B-9397-08002B2CF9AE}" pid="4" name="KSOSaveFontToCloudKey">
    <vt:lpwstr>261496909_btnclosed</vt:lpwstr>
  </property>
</Properties>
</file>