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CE852">
      <w:pPr>
        <w:pStyle w:val="2"/>
        <w:spacing w:before="243" w:line="226" w:lineRule="auto"/>
        <w:ind w:left="1746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</w:rPr>
        <w:t>6.2.4.</w:t>
      </w: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</w:rPr>
        <w:t>2021-2024</w:t>
      </w:r>
      <w:r>
        <w:rPr>
          <w:rFonts w:hint="eastAsia" w:ascii="仿宋_GB2312" w:hAnsi="仿宋_GB2312" w:eastAsia="仿宋_GB2312" w:cs="仿宋_GB2312"/>
          <w:spacing w:val="-3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</w:rPr>
        <w:t>专业骨干教师培养计划</w:t>
      </w:r>
    </w:p>
    <w:p w14:paraId="2E927A0F">
      <w:pPr>
        <w:pStyle w:val="2"/>
        <w:spacing w:before="244" w:line="365" w:lineRule="auto"/>
        <w:ind w:left="242" w:right="264" w:firstLine="628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为了进一步加强专业带头人和骨干教师的培养工作，努力造就一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批学术水平高、业务能力强、师德高尚的骨干教师，提升计算机网络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专业教学团队的整体实力，促进教育教学改革和“双精准</w:t>
      </w:r>
      <w:r>
        <w:rPr>
          <w:rFonts w:hint="eastAsia" w:ascii="仿宋_GB2312" w:hAnsi="仿宋_GB2312" w:eastAsia="仿宋_GB2312" w:cs="仿宋_GB2312"/>
          <w:spacing w:val="-9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”示范专业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建工作，结合《佛山市华材职业技术学校“强师工程</w:t>
      </w:r>
      <w:r>
        <w:rPr>
          <w:rFonts w:hint="eastAsia" w:ascii="仿宋_GB2312" w:hAnsi="仿宋_GB2312" w:eastAsia="仿宋_GB2312" w:cs="仿宋_GB2312"/>
          <w:spacing w:val="-9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”建设实施方案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（试行）》，特制定本方案。</w:t>
      </w:r>
    </w:p>
    <w:p w14:paraId="3910CDC9">
      <w:pPr>
        <w:pStyle w:val="2"/>
        <w:spacing w:before="55" w:line="226" w:lineRule="auto"/>
        <w:ind w:left="247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28"/>
          <w:szCs w:val="28"/>
        </w:rPr>
        <w:t>一、培养目标</w:t>
      </w:r>
    </w:p>
    <w:p w14:paraId="7790BA12">
      <w:pPr>
        <w:pStyle w:val="2"/>
        <w:spacing w:before="243" w:line="228" w:lineRule="auto"/>
        <w:ind w:left="863"/>
        <w:outlineLvl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（一）总体目标</w:t>
      </w:r>
    </w:p>
    <w:p w14:paraId="4425D06C">
      <w:pPr>
        <w:pStyle w:val="2"/>
        <w:spacing w:before="244" w:line="365" w:lineRule="auto"/>
        <w:ind w:left="242" w:right="150" w:firstLine="6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专业骨干教师的主要职责是在专业带头人的带领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下，积极承担教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学和科研任务，深入开展教育教学研究和科学技术研究等工作。通过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培养，尽快提升专业骨干教师培养对象的教学水平和学术水平，能在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开展教学工作、教育教学研究和科学技术研究等方面起骨干作用，带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动教师队伍整体素质的提升，为专业的内涵建设和持续发展奠定基础。</w:t>
      </w:r>
    </w:p>
    <w:p w14:paraId="747B58F7">
      <w:pPr>
        <w:pStyle w:val="2"/>
        <w:spacing w:before="52" w:line="228" w:lineRule="auto"/>
        <w:ind w:left="863"/>
        <w:outlineLvl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（二）具体目标</w:t>
      </w:r>
    </w:p>
    <w:p w14:paraId="4631E1A4">
      <w:pPr>
        <w:pStyle w:val="2"/>
        <w:spacing w:before="242" w:line="299" w:lineRule="auto"/>
        <w:ind w:left="242" w:right="264" w:firstLine="6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1．提升工作业绩。模范履行教师职责，实施素质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教育，提升工作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业绩，使学生的思想品德和职业素养不断提高。</w:t>
      </w:r>
    </w:p>
    <w:p w14:paraId="6DCA735B">
      <w:pPr>
        <w:pStyle w:val="2"/>
        <w:spacing w:before="242" w:line="336" w:lineRule="auto"/>
        <w:ind w:left="248" w:right="173" w:firstLine="60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2．追求自我发展。勇于实践探索，创新教学和技能训练方法。勤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于学习反思，善于总结提升，撰写有较高水平的专业论文或经验总结，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每年有 1</w:t>
      </w:r>
      <w:r>
        <w:rPr>
          <w:rFonts w:hint="eastAsia" w:ascii="仿宋_GB2312" w:hAnsi="仿宋_GB2312" w:eastAsia="仿宋_GB2312" w:cs="仿宋_GB2312"/>
          <w:spacing w:val="-6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篇论文公开发表或在教育部门组织的论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文评选中获区级以上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奖励。</w:t>
      </w:r>
    </w:p>
    <w:p w14:paraId="3911CF3A">
      <w:pPr>
        <w:pStyle w:val="2"/>
        <w:spacing w:before="242" w:line="336" w:lineRule="auto"/>
        <w:ind w:left="248" w:right="173" w:firstLine="604"/>
        <w:rPr>
          <w:rFonts w:hint="eastAsia"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3．提供示范借鉴。积极承担观摩课、示范课、专业建设讲座等教研任务。每年在校级以上范围内评课不少于 10 节，上示范课不少于 1 节，讲授专业建设讲座不少于 1 次。</w:t>
      </w:r>
    </w:p>
    <w:p w14:paraId="49C83ECE">
      <w:pPr>
        <w:pStyle w:val="2"/>
        <w:spacing w:before="51" w:line="343" w:lineRule="auto"/>
        <w:ind w:left="242" w:right="264" w:firstLine="6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4．开展教学改革。积极承担校级以上教育教学科研课题，围绕专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业建设改革发展问题，开展社会调研，参与校企合作、课程体系及专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业规划建设。每年组织 2 次以上的企业调研活动，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参与或主持</w:t>
      </w:r>
      <w:r>
        <w:rPr>
          <w:rFonts w:hint="eastAsia" w:ascii="仿宋_GB2312" w:hAnsi="仿宋_GB2312" w:eastAsia="仿宋_GB2312" w:cs="仿宋_GB2312"/>
          <w:spacing w:val="5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1 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以上的课程标准的制定、一个专业实训室建设、一个实训基地建设，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主编或参编</w:t>
      </w:r>
      <w:r>
        <w:rPr>
          <w:rFonts w:hint="eastAsia" w:ascii="仿宋_GB2312" w:hAnsi="仿宋_GB2312" w:eastAsia="仿宋_GB2312" w:cs="仿宋_GB2312"/>
          <w:spacing w:val="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pacing w:val="5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门校本教材。</w:t>
      </w:r>
    </w:p>
    <w:p w14:paraId="4AB6EBC7">
      <w:pPr>
        <w:pStyle w:val="2"/>
        <w:spacing w:before="244" w:line="335" w:lineRule="auto"/>
        <w:ind w:left="241" w:right="264" w:firstLine="61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5．参与培训指导。积极开展教师培训工作，和校内</w:t>
      </w:r>
      <w:r>
        <w:rPr>
          <w:rFonts w:hint="eastAsia" w:ascii="仿宋_GB2312" w:hAnsi="仿宋_GB2312" w:eastAsia="仿宋_GB2312" w:cs="仿宋_GB2312"/>
          <w:spacing w:val="6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1-2</w:t>
      </w:r>
      <w:r>
        <w:rPr>
          <w:rFonts w:hint="eastAsia" w:ascii="仿宋_GB2312" w:hAnsi="仿宋_GB2312" w:eastAsia="仿宋_GB2312" w:cs="仿宋_GB2312"/>
          <w:spacing w:val="-4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名教师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签订结对协议，承担对下一级教师提升的培训指导任务，通过集体备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课、技能训练、案例分析、课程开发等形式，传授教育教学经验，帮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助年青教师提高师德修养和业务水平。</w:t>
      </w:r>
    </w:p>
    <w:p w14:paraId="6A985895">
      <w:pPr>
        <w:pStyle w:val="2"/>
        <w:spacing w:before="247" w:line="335" w:lineRule="auto"/>
        <w:ind w:left="243" w:right="158" w:firstLine="60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6．提供教育资源。积极参加课程教学资源库建设，创新教育内容，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培养学生的职业能力。向学校教育资源库上传有课程素材、电子教案、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多媒体课件、测试题库、考核方法、实训项目等内容的精品课程，主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动向全校、全区中职教师交流分享课程开发的经验与成果。</w:t>
      </w:r>
    </w:p>
    <w:p w14:paraId="66BC219F">
      <w:pPr>
        <w:pStyle w:val="2"/>
        <w:spacing w:before="243" w:line="226" w:lineRule="auto"/>
        <w:ind w:left="869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</w:rPr>
        <w:t>二、培养内容</w:t>
      </w:r>
    </w:p>
    <w:p w14:paraId="4196DDC4">
      <w:pPr>
        <w:pStyle w:val="2"/>
        <w:spacing w:before="245" w:line="355" w:lineRule="auto"/>
        <w:ind w:left="243" w:right="337" w:firstLine="61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专业骨干教师的培养主要从知识与理论提升，实践与技能培养，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课题与专题研究等三个方面着手，致力于提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升培养对象的综合能力。</w:t>
      </w:r>
    </w:p>
    <w:p w14:paraId="3B0399C0">
      <w:pPr>
        <w:pStyle w:val="2"/>
        <w:numPr>
          <w:ilvl w:val="0"/>
          <w:numId w:val="1"/>
        </w:numPr>
        <w:spacing w:before="57" w:line="363" w:lineRule="auto"/>
        <w:ind w:left="243" w:right="173" w:firstLine="629"/>
        <w:rPr>
          <w:rFonts w:hint="eastAsia" w:ascii="仿宋_GB2312" w:hAnsi="仿宋_GB2312" w:eastAsia="仿宋_GB2312" w:cs="仿宋_GB2312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知识与理论提升。着眼于提高培养对象的理论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文化素养，更新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知识结构，提高教育教学理论水平，提升培养对象的可持续发展能力，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使专业骨干教师树立教书育人观念，既注重知识传授，更注重能力和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创新意识的培养。</w:t>
      </w:r>
    </w:p>
    <w:p w14:paraId="71BD324F">
      <w:pPr>
        <w:pStyle w:val="2"/>
        <w:numPr>
          <w:ilvl w:val="0"/>
          <w:numId w:val="1"/>
        </w:numPr>
        <w:spacing w:before="57" w:line="363" w:lineRule="auto"/>
        <w:ind w:left="243" w:right="173" w:firstLine="629"/>
        <w:rPr>
          <w:rFonts w:hint="eastAsia"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实践与技能培养。着眼于提高培养对象实施素质教育的能力， 提高教学技能和实战水平；不断更新专业知识，一方面强化他们所任 教学科专业知识的更新，另一方面强化相关学科知识的获取，不断拓 展、深化自己的知识体系；使专业骨干教师在培养期内，不断提高掌 握运用计算机和多媒体教学等现代教育技术、教学手段的能力；逐步 形成自 己的教学风格、教学模式，在教学技能、方法、课堂教学组织 能力等诸方面得到提高。</w:t>
      </w:r>
    </w:p>
    <w:p w14:paraId="481B78BD">
      <w:pPr>
        <w:pStyle w:val="2"/>
        <w:spacing w:before="242" w:line="323" w:lineRule="auto"/>
        <w:ind w:left="244" w:right="173" w:firstLine="6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3．课题与专题研究：着眼于提高培养对象的科研意识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和研究能力，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不断总结与反思教育教学实践，善于发现和总结教学规律，提高理论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运用与创新能力，结合教学工作实际开展教研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教改和科研工作。</w:t>
      </w:r>
    </w:p>
    <w:p w14:paraId="1A60FEB3">
      <w:pPr>
        <w:pStyle w:val="2"/>
        <w:spacing w:before="245" w:line="226" w:lineRule="auto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</w:rPr>
        <w:t>三、培养方式</w:t>
      </w:r>
    </w:p>
    <w:p w14:paraId="6BEDBED6">
      <w:pPr>
        <w:pStyle w:val="2"/>
        <w:spacing w:before="240" w:line="365" w:lineRule="auto"/>
        <w:ind w:left="242" w:right="264" w:firstLine="61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培养方式主要采取项目驱动、组织培养和个人研修相结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合，通过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开展理论学习、企业实践及科学研究等途径，</w:t>
      </w:r>
      <w:r>
        <w:rPr>
          <w:rFonts w:hint="eastAsia" w:ascii="仿宋_GB2312" w:hAnsi="仿宋_GB2312" w:eastAsia="仿宋_GB2312" w:cs="仿宋_GB2312"/>
          <w:spacing w:val="-9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以集中培训、观摩、交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流、竞赛、研讨等活动推进培养工程顺利实施，促进培养对象迅速成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长。</w:t>
      </w:r>
    </w:p>
    <w:p w14:paraId="3D316CE0">
      <w:pPr>
        <w:pStyle w:val="2"/>
        <w:spacing w:before="48" w:line="229" w:lineRule="auto"/>
        <w:ind w:left="8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（一）项目驱动</w:t>
      </w:r>
    </w:p>
    <w:p w14:paraId="4A8DC8F3">
      <w:pPr>
        <w:pStyle w:val="2"/>
        <w:spacing w:before="239" w:line="365" w:lineRule="auto"/>
        <w:ind w:left="241" w:right="150"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骨干教师的培养以项目为驱动、</w:t>
      </w:r>
      <w:r>
        <w:rPr>
          <w:rFonts w:hint="eastAsia" w:ascii="仿宋_GB2312" w:hAnsi="仿宋_GB2312" w:eastAsia="仿宋_GB2312" w:cs="仿宋_GB2312"/>
          <w:spacing w:val="-9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以任务为引领，贯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穿整个培养过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程。培养期间，各培养对象需将自身负责的课题研究当成培养过程的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特定项目；未承担课题的培养对象，需将自己工作的特定内容转变成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一个项目。培养期间的各种培训学习、研究交流都围绕这一项目开展。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培训结束时，应将整个项目的内容备份整理上交。</w:t>
      </w:r>
    </w:p>
    <w:p w14:paraId="659D49BB">
      <w:pPr>
        <w:pStyle w:val="2"/>
        <w:numPr>
          <w:ilvl w:val="0"/>
          <w:numId w:val="2"/>
        </w:numPr>
        <w:spacing w:before="56" w:line="228" w:lineRule="auto"/>
        <w:ind w:left="872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确立项目内容，确定项目指导老师。</w:t>
      </w:r>
    </w:p>
    <w:p w14:paraId="06501981">
      <w:pPr>
        <w:pStyle w:val="2"/>
        <w:numPr>
          <w:ilvl w:val="0"/>
          <w:numId w:val="2"/>
        </w:numPr>
        <w:spacing w:before="56" w:line="228" w:lineRule="auto"/>
        <w:ind w:left="8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制定项目进度表。</w:t>
      </w:r>
    </w:p>
    <w:p w14:paraId="62CEE242">
      <w:pPr>
        <w:pStyle w:val="2"/>
        <w:numPr>
          <w:ilvl w:val="0"/>
          <w:numId w:val="2"/>
        </w:numPr>
        <w:spacing w:before="56" w:line="228" w:lineRule="auto"/>
        <w:ind w:left="8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组织项目实施，监控项目进度。</w:t>
      </w:r>
    </w:p>
    <w:p w14:paraId="146A6F07">
      <w:pPr>
        <w:pStyle w:val="2"/>
        <w:numPr>
          <w:ilvl w:val="0"/>
          <w:numId w:val="2"/>
        </w:numPr>
        <w:spacing w:before="56" w:line="228" w:lineRule="auto"/>
        <w:ind w:left="8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落实指导老师对项目过程的指导，保留指导实录。</w:t>
      </w:r>
    </w:p>
    <w:p w14:paraId="438B5CED">
      <w:pPr>
        <w:pStyle w:val="2"/>
        <w:numPr>
          <w:ilvl w:val="0"/>
          <w:numId w:val="2"/>
        </w:numPr>
        <w:spacing w:before="56" w:line="228" w:lineRule="auto"/>
        <w:ind w:left="8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分阶段进行项目总结，发现问题或困难及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时向指导老师或主管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部门</w:t>
      </w:r>
    </w:p>
    <w:p w14:paraId="56A222E0">
      <w:pPr>
        <w:pStyle w:val="2"/>
        <w:spacing w:before="54" w:line="226" w:lineRule="auto"/>
        <w:ind w:left="860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反映，确保项目的顺利进行。</w:t>
      </w:r>
    </w:p>
    <w:p w14:paraId="4B0F959C">
      <w:pPr>
        <w:pStyle w:val="2"/>
        <w:numPr>
          <w:ilvl w:val="0"/>
          <w:numId w:val="2"/>
        </w:numPr>
        <w:spacing w:before="54" w:line="226" w:lineRule="auto"/>
        <w:ind w:left="872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项目完成时，对项目绩效进行自评并将评估材料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反馈给主管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部门。</w:t>
      </w:r>
    </w:p>
    <w:p w14:paraId="15FE5170">
      <w:pPr>
        <w:pStyle w:val="2"/>
        <w:spacing w:before="54" w:line="226" w:lineRule="auto"/>
        <w:ind w:left="8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（二）组织培养</w:t>
      </w:r>
    </w:p>
    <w:p w14:paraId="06C45F43">
      <w:pPr>
        <w:pStyle w:val="2"/>
        <w:spacing w:before="245" w:line="356" w:lineRule="auto"/>
        <w:ind w:left="242" w:right="266" w:firstLine="6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学校和专业部两级组织在骨干教师培养对象成长过程中承担着制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度激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励、组织研讨和管理考核的职责，通过组织多种形式的学习培训、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教学研究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教改实验、竞赛研讨、下企业锻炼等活动促进培养对象成长，有计划、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有步骤地为他们的专业发展成长创造条件。</w:t>
      </w:r>
    </w:p>
    <w:p w14:paraId="376DCB02">
      <w:pPr>
        <w:pStyle w:val="2"/>
        <w:spacing w:before="246" w:line="356" w:lineRule="auto"/>
        <w:ind w:left="251" w:right="264" w:firstLine="6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1. 积极组织推荐骨干教师培养对象参加专业建设、课程开发、教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育教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学改革等理论学习及专业技术能力培训。</w:t>
      </w:r>
    </w:p>
    <w:p w14:paraId="2C7A080B">
      <w:pPr>
        <w:pStyle w:val="2"/>
        <w:spacing w:before="242" w:line="299" w:lineRule="auto"/>
        <w:ind w:left="255" w:right="266" w:firstLine="59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2．帮助骨干教师培养对象与已具有相应称号的教师结成交流对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子，开展拜师学习活动。</w:t>
      </w:r>
    </w:p>
    <w:p w14:paraId="66118D97">
      <w:pPr>
        <w:pStyle w:val="2"/>
        <w:spacing w:before="245" w:line="227" w:lineRule="auto"/>
        <w:ind w:left="8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3．组织开展课题立项研究、课程开发、教育教学改</w:t>
      </w:r>
      <w:r>
        <w:rPr>
          <w:rFonts w:hint="eastAsia" w:ascii="仿宋_GB2312" w:hAnsi="仿宋_GB2312" w:eastAsia="仿宋_GB2312" w:cs="仿宋_GB2312"/>
          <w:sz w:val="28"/>
          <w:szCs w:val="28"/>
        </w:rPr>
        <w:t>革研究等活动。</w:t>
      </w:r>
    </w:p>
    <w:p w14:paraId="319CD6A7">
      <w:pPr>
        <w:spacing w:line="227" w:lineRule="auto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1398" w:right="803" w:bottom="0" w:left="961" w:header="853" w:footer="567" w:gutter="0"/>
          <w:cols w:space="720" w:num="1"/>
        </w:sectPr>
      </w:pPr>
    </w:p>
    <w:p w14:paraId="1500B492">
      <w:pPr>
        <w:pStyle w:val="2"/>
        <w:spacing w:before="195" w:line="300" w:lineRule="auto"/>
        <w:ind w:left="242" w:right="264" w:firstLine="6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4．组织开展业务竞赛、科研论文、课程设计、优秀教学课件评比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和教学观摩交流等活动。</w:t>
      </w:r>
    </w:p>
    <w:p w14:paraId="799FDE20">
      <w:pPr>
        <w:pStyle w:val="2"/>
        <w:spacing w:before="240" w:line="299" w:lineRule="auto"/>
        <w:ind w:left="251" w:right="264" w:firstLine="60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5．优先组织安排培养对象外出学习、进修、调研，为其成长提供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舞台。</w:t>
      </w:r>
    </w:p>
    <w:p w14:paraId="69E5630F">
      <w:pPr>
        <w:pStyle w:val="2"/>
        <w:spacing w:before="243" w:line="228" w:lineRule="auto"/>
        <w:ind w:left="863"/>
        <w:outlineLvl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（三）个人研修</w:t>
      </w:r>
    </w:p>
    <w:p w14:paraId="53265914">
      <w:pPr>
        <w:pStyle w:val="2"/>
        <w:spacing w:before="242" w:line="299" w:lineRule="auto"/>
        <w:ind w:left="246" w:right="264" w:firstLine="62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1．培养对象对照相应评审条件，针对个人实际情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况，结合项目内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容，制订个人成长计划。</w:t>
      </w:r>
    </w:p>
    <w:p w14:paraId="1F942E9B">
      <w:pPr>
        <w:pStyle w:val="2"/>
        <w:spacing w:before="244" w:line="323" w:lineRule="auto"/>
        <w:ind w:left="246" w:right="264" w:firstLine="60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2．根据专业教学的特点和要求，加强基础理论、现代教育理论等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前沿理论的学习，通过订阅、借阅或上网浏览等途径看教育理念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书籍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或与所教学科密切相关的知识。</w:t>
      </w:r>
    </w:p>
    <w:p w14:paraId="58B43E16">
      <w:pPr>
        <w:pStyle w:val="2"/>
        <w:spacing w:before="244" w:line="300" w:lineRule="auto"/>
        <w:ind w:left="251" w:right="264" w:firstLine="60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3．积极主动参加各类竞赛研讨、教学观摩交流、教学技能比赛等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活动。</w:t>
      </w:r>
    </w:p>
    <w:p w14:paraId="3C6E0AD4">
      <w:pPr>
        <w:pStyle w:val="2"/>
        <w:spacing w:before="239" w:line="324" w:lineRule="auto"/>
        <w:ind w:left="241" w:right="253" w:firstLine="60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4．积极参加教学科研，积极承担校、市级课题研究，善于思考，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勤于动笔，及时总结。主动参加各级论文评选，积极向各级各类报刊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投稿。</w:t>
      </w:r>
    </w:p>
    <w:p w14:paraId="4D30101A">
      <w:pPr>
        <w:pStyle w:val="2"/>
        <w:spacing w:before="239" w:line="299" w:lineRule="auto"/>
        <w:ind w:left="242" w:right="264" w:firstLine="61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5．积极主动拜已取得相应称号的骨干教师为师，主动请教，邀请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指导老师听课、评课、提出指导性意见。</w:t>
      </w:r>
    </w:p>
    <w:p w14:paraId="2E8BD925">
      <w:pPr>
        <w:pStyle w:val="2"/>
        <w:spacing w:before="246" w:line="299" w:lineRule="auto"/>
        <w:ind w:left="241" w:right="264" w:firstLine="6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6．积极参与校企合作、入企锻炼活动，做中教，做中学，不断掌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握新的专业知识与技能。</w:t>
      </w:r>
    </w:p>
    <w:p w14:paraId="5ABA9C9A">
      <w:pPr>
        <w:pStyle w:val="2"/>
        <w:spacing w:before="242" w:line="299" w:lineRule="auto"/>
        <w:ind w:left="243" w:right="264" w:firstLine="613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7．对照评选条件和个人研修提升计划，拾遗补缺，并及时收集所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取得的成果资料，</w:t>
      </w:r>
      <w:r>
        <w:rPr>
          <w:rFonts w:hint="eastAsia" w:ascii="仿宋_GB2312" w:hAnsi="仿宋_GB2312" w:eastAsia="仿宋_GB2312" w:cs="仿宋_GB2312"/>
          <w:spacing w:val="-8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以便随时展示。</w:t>
      </w:r>
    </w:p>
    <w:p w14:paraId="7913C972">
      <w:pPr>
        <w:pStyle w:val="2"/>
        <w:spacing w:before="242" w:line="299" w:lineRule="auto"/>
        <w:ind w:right="264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四、组织和安排</w:t>
      </w:r>
    </w:p>
    <w:p w14:paraId="30D39567">
      <w:pPr>
        <w:pStyle w:val="2"/>
        <w:spacing w:before="242" w:line="226" w:lineRule="auto"/>
        <w:ind w:left="8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（一）培养组织</w:t>
      </w:r>
    </w:p>
    <w:p w14:paraId="1FB6B766">
      <w:pPr>
        <w:pStyle w:val="2"/>
        <w:spacing w:before="246" w:line="360" w:lineRule="auto"/>
        <w:ind w:left="244" w:right="158" w:firstLine="61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专业骨干教师培养指导团队：王祥友（教学副校长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）、李娇容（教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导主任）、陈启浓（专业部主任、专业高级讲师）、涂浩（专业负责人）、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郑英（名班主任）。</w:t>
      </w:r>
    </w:p>
    <w:p w14:paraId="234B957C">
      <w:pPr>
        <w:pStyle w:val="2"/>
        <w:spacing w:before="56" w:line="226" w:lineRule="auto"/>
        <w:ind w:left="8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（二）培养对象</w:t>
      </w:r>
    </w:p>
    <w:p w14:paraId="6D2C740C">
      <w:pPr>
        <w:pStyle w:val="2"/>
        <w:spacing w:before="244" w:line="226" w:lineRule="auto"/>
        <w:ind w:left="8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邓俊英、谢翠芬、洪慧雅、涂浩、黄为、苏秦。</w:t>
      </w:r>
    </w:p>
    <w:p w14:paraId="49AFA2DB">
      <w:pPr>
        <w:pStyle w:val="2"/>
        <w:spacing w:before="245" w:line="226" w:lineRule="auto"/>
        <w:ind w:left="8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（三）培养安排</w:t>
      </w:r>
    </w:p>
    <w:p w14:paraId="2910992D">
      <w:pPr>
        <w:pStyle w:val="2"/>
        <w:spacing w:before="244" w:line="226" w:lineRule="auto"/>
        <w:ind w:left="154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佛山市华材职业技术学校专业骨干教师培养进度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安排表</w:t>
      </w:r>
    </w:p>
    <w:p w14:paraId="4904861F">
      <w:pPr>
        <w:spacing w:before="102" w:line="8085" w:lineRule="exact"/>
        <w:ind w:firstLine="119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position w:val="-161"/>
        </w:rPr>
        <w:drawing>
          <wp:inline distT="0" distB="0" distL="0" distR="0">
            <wp:extent cx="5147945" cy="51339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071" cy="51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5F72">
      <w:pPr>
        <w:spacing w:line="8085" w:lineRule="exact"/>
        <w:rPr>
          <w:rFonts w:hint="eastAsia" w:ascii="仿宋_GB2312" w:hAnsi="仿宋_GB2312" w:eastAsia="仿宋_GB2312" w:cs="仿宋_GB2312"/>
        </w:rPr>
        <w:sectPr>
          <w:pgSz w:w="11906" w:h="16839"/>
          <w:pgMar w:top="1398" w:right="803" w:bottom="0" w:left="961" w:header="853" w:footer="567" w:gutter="0"/>
          <w:cols w:space="720" w:num="1"/>
        </w:sectPr>
      </w:pPr>
    </w:p>
    <w:p w14:paraId="562B9C71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120015</wp:posOffset>
            </wp:positionV>
            <wp:extent cx="5292725" cy="5753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852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932B7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4E97F4C4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position w:val="-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177165</wp:posOffset>
                </wp:positionV>
                <wp:extent cx="762000" cy="475615"/>
                <wp:effectExtent l="0" t="0" r="0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58435D">
                            <w:pPr>
                              <w:spacing w:before="167" w:line="321" w:lineRule="auto"/>
                              <w:ind w:left="155" w:right="193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2022.2-20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23.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3.95pt;height:37.45pt;width:60pt;z-index:251659264;mso-width-relative:page;mso-height-relative:page;" fillcolor="#FFFFFF" filled="t" stroked="f" coordsize="21600,21600" o:gfxdata="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QUbDtgAAAAKAQAADwAAAAAAAAABACAAAAAiAAAA&#10;ZHJzL2Rvd25yZXYueG1sUEsBAhQAFAAAAAgAh07iQLb8xNPOAQAAmgMAAA4AAAAAAAAAAQAgAAAA&#10;JwEAAGRycy9lMm9Eb2MueG1sUEsFBgAAAAAGAAYAWQEAAGcFAAAAAA=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558435D">
                      <w:pPr>
                        <w:spacing w:before="167" w:line="321" w:lineRule="auto"/>
                        <w:ind w:left="155" w:right="193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3"/>
                          <w:sz w:val="20"/>
                          <w:szCs w:val="20"/>
                        </w:rPr>
                        <w:t>2022.2-20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>23.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F9F89F6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08F9AE2D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48A59F2A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21D4CF7F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  <w:bookmarkStart w:id="0" w:name="_GoBack"/>
      <w:bookmarkEnd w:id="0"/>
    </w:p>
    <w:p w14:paraId="556420BF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5EF98DB6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7A46EBA8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0023750F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19598488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1A7D7533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6C385FCD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73C6D509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18FB1895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6EA3D804"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 w14:paraId="47CE01D6">
      <w:pPr>
        <w:spacing w:line="252" w:lineRule="auto"/>
        <w:rPr>
          <w:rFonts w:hint="eastAsia" w:ascii="仿宋_GB2312" w:hAnsi="仿宋_GB2312" w:eastAsia="仿宋_GB2312" w:cs="仿宋_GB2312"/>
          <w:sz w:val="21"/>
        </w:rPr>
      </w:pPr>
    </w:p>
    <w:p w14:paraId="0408F548">
      <w:pPr>
        <w:spacing w:line="749" w:lineRule="exact"/>
        <w:ind w:firstLine="752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position w:val="-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434975</wp:posOffset>
                </wp:positionV>
                <wp:extent cx="762000" cy="475615"/>
                <wp:effectExtent l="0" t="0" r="0" b="63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555B40">
                            <w:pPr>
                              <w:spacing w:before="167" w:line="321" w:lineRule="auto"/>
                              <w:ind w:left="157" w:right="19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3"/>
                                <w:sz w:val="20"/>
                                <w:szCs w:val="20"/>
                              </w:rPr>
                              <w:t>2024.1-20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24.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78.9pt;margin-top:34.25pt;height:37.45pt;width:60pt;z-index:251659264;mso-width-relative:page;mso-height-relative:page;" fillcolor="#FFFFFF" filled="t" stroked="f" coordsize="21600,21600" o:gfxdata="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cTp6tgAAAAKAQAADwAAAAAAAAABACAAAAAiAAAAZHJz&#10;L2Rvd25yZXYueG1sUEsBAhQAFAAAAAgAh07iQNATvQTLAQAAmgMAAA4AAAAAAAAAAQAgAAAAJwEA&#10;AGRycy9lMm9Eb2MueG1sUEsFBgAAAAAGAAYAWQEAAGQFAAAAAA=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0555B40">
                      <w:pPr>
                        <w:spacing w:before="167" w:line="321" w:lineRule="auto"/>
                        <w:ind w:left="157" w:right="190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3"/>
                          <w:sz w:val="20"/>
                          <w:szCs w:val="20"/>
                        </w:rPr>
                        <w:t>2024.1-20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>24.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1481F5F0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1333EF1E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42EBB047">
      <w:pPr>
        <w:spacing w:line="251" w:lineRule="auto"/>
        <w:rPr>
          <w:rFonts w:hint="eastAsia" w:ascii="仿宋_GB2312" w:hAnsi="仿宋_GB2312" w:eastAsia="仿宋_GB2312" w:cs="仿宋_GB2312"/>
          <w:sz w:val="21"/>
        </w:rPr>
      </w:pPr>
    </w:p>
    <w:p w14:paraId="586F9302">
      <w:pPr>
        <w:spacing w:line="749" w:lineRule="exact"/>
        <w:ind w:firstLine="7625"/>
        <w:rPr>
          <w:rFonts w:hint="eastAsia" w:ascii="仿宋_GB2312" w:hAnsi="仿宋_GB2312" w:eastAsia="仿宋_GB2312" w:cs="仿宋_GB2312"/>
        </w:rPr>
      </w:pPr>
    </w:p>
    <w:sectPr>
      <w:pgSz w:w="11906" w:h="16839"/>
      <w:pgMar w:top="1398" w:right="803" w:bottom="0" w:left="961" w:header="85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365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84E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84E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62E31">
    <w:pPr>
      <w:spacing w:before="141" w:line="183" w:lineRule="auto"/>
      <w:jc w:val="right"/>
      <w:rPr>
        <w:rFonts w:ascii="微软雅黑" w:hAnsi="微软雅黑" w:eastAsia="微软雅黑" w:cs="微软雅黑"/>
        <w:sz w:val="18"/>
        <w:szCs w:val="18"/>
      </w:rPr>
    </w:pPr>
    <w:r>
      <w:pict>
        <v:shape id="_x0000_s2049" o:spid="_x0000_s2049" style="position:absolute;left:0pt;margin-left:48.1pt;margin-top:68.6pt;height:0.5pt;width:503.8pt;mso-position-horizontal-relative:page;mso-position-vertical-relative:page;z-index:251660288;mso-width-relative:page;mso-height-relative:page;" fillcolor="#000000" filled="t" stroked="f" coordsize="10075,10" o:allowincell="f" path="m0,0l10075,0,10075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610870</wp:posOffset>
          </wp:positionH>
          <wp:positionV relativeFrom="page">
            <wp:posOffset>553085</wp:posOffset>
          </wp:positionV>
          <wp:extent cx="2592070" cy="3048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324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008C37"/>
        <w:spacing w:val="-1"/>
        <w:sz w:val="18"/>
        <w:szCs w:val="18"/>
      </w:rPr>
      <w:t>计算机网络专业双精准材料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579F3"/>
    <w:multiLevelType w:val="singleLevel"/>
    <w:tmpl w:val="99D579F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9DB21698"/>
    <w:multiLevelType w:val="singleLevel"/>
    <w:tmpl w:val="9DB21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kNzkwMmQxZjExYTUwMzM4ZGM5N2VhZmRkOTJlYTgifQ=="/>
  </w:docVars>
  <w:rsids>
    <w:rsidRoot w:val="00000000"/>
    <w:rsid w:val="039B20C2"/>
    <w:rsid w:val="10B96D24"/>
    <w:rsid w:val="53093E26"/>
    <w:rsid w:val="6C550169"/>
    <w:rsid w:val="78C96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2511</Words>
  <Characters>2543</Characters>
  <TotalTime>2</TotalTime>
  <ScaleCrop>false</ScaleCrop>
  <LinksUpToDate>false</LinksUpToDate>
  <CharactersWithSpaces>2631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2024-11-30T14:10:00Z</dcterms:created>
  <dc:creator>Sky123.Org</dc:creator>
  <cp:lastModifiedBy>杨煜新</cp:lastModifiedBy>
  <dcterms:modified xsi:type="dcterms:W3CDTF">2024-12-05T07:50:51Z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2024-12-02T18:24:55Z</vt:filetime>
  </property>
  <property fmtid="{D5CDD505-2E9C-101B-9397-08002B2CF9AE}" pid="4" name="KSOProductBuildVer">
    <vt:lpwstr>2052-12.1.0.17857</vt:lpwstr>
  </property>
  <property fmtid="{D5CDD505-2E9C-101B-9397-08002B2CF9AE}" pid="5" name="ICV">
    <vt:lpwstr>6EF4FCB4AAF24D5BA958F00414D512AF_12</vt:lpwstr>
  </property>
</Properties>
</file>