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58E66">
      <w:pPr>
        <w:pStyle w:val="2"/>
        <w:tabs>
          <w:tab w:val="left" w:pos="0"/>
        </w:tabs>
        <w:spacing w:before="138" w:line="225" w:lineRule="auto"/>
        <w:ind w:left="0" w:lef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1"/>
          <w:szCs w:val="31"/>
        </w:rPr>
        <w:t>6.2.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6"/>
          <w:sz w:val="31"/>
          <w:szCs w:val="31"/>
        </w:rPr>
        <w:t>4.6.0 各工程教师培养情况概述</w:t>
      </w:r>
    </w:p>
    <w:p w14:paraId="5BDA52BE">
      <w:pPr>
        <w:pStyle w:val="2"/>
        <w:spacing w:before="266" w:line="402" w:lineRule="auto"/>
        <w:ind w:right="281" w:firstLine="564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3"/>
        </w:rPr>
        <w:t>我校依托学校教师发展中心，根据《佛山市华材职业技术学校“强师</w:t>
      </w:r>
      <w:r>
        <w:rPr>
          <w:rFonts w:hint="eastAsia" w:ascii="仿宋_GB2312" w:hAnsi="仿宋_GB2312" w:eastAsia="仿宋_GB2312" w:cs="仿宋_GB2312"/>
          <w:spacing w:val="-15"/>
        </w:rPr>
        <w:t>铸魂工程</w:t>
      </w:r>
      <w:r>
        <w:rPr>
          <w:rFonts w:hint="eastAsia" w:ascii="仿宋_GB2312" w:hAnsi="仿宋_GB2312" w:eastAsia="仿宋_GB2312" w:cs="仿宋_GB2312"/>
          <w:spacing w:val="-93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</w:rPr>
        <w:t>”三年行动计划（</w:t>
      </w:r>
      <w:r>
        <w:rPr>
          <w:rFonts w:hint="eastAsia" w:ascii="仿宋_GB2312" w:hAnsi="仿宋_GB2312" w:eastAsia="仿宋_GB2312" w:cs="仿宋_GB2312"/>
          <w:spacing w:val="-15"/>
        </w:rPr>
        <w:t>2021</w:t>
      </w:r>
      <w:r>
        <w:rPr>
          <w:rFonts w:hint="eastAsia" w:ascii="仿宋_GB2312" w:hAnsi="仿宋_GB2312" w:eastAsia="仿宋_GB2312" w:cs="仿宋_GB2312"/>
          <w:spacing w:val="2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</w:rPr>
        <w:t>至</w:t>
      </w:r>
      <w:r>
        <w:rPr>
          <w:rFonts w:hint="eastAsia" w:ascii="仿宋_GB2312" w:hAnsi="仿宋_GB2312" w:eastAsia="仿宋_GB2312" w:cs="仿宋_GB2312"/>
          <w:spacing w:val="-55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</w:rPr>
        <w:t>2024</w:t>
      </w:r>
      <w:r>
        <w:rPr>
          <w:rFonts w:hint="eastAsia" w:ascii="仿宋_GB2312" w:hAnsi="仿宋_GB2312" w:eastAsia="仿宋_GB2312" w:cs="仿宋_GB2312"/>
          <w:spacing w:val="18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</w:rPr>
        <w:t>年）》及其实施方案的精神</w:t>
      </w:r>
      <w:r>
        <w:rPr>
          <w:rFonts w:hint="eastAsia" w:ascii="仿宋_GB2312" w:hAnsi="仿宋_GB2312" w:eastAsia="仿宋_GB2312" w:cs="仿宋_GB2312"/>
          <w:spacing w:val="-15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5"/>
        </w:rPr>
        <w:t>在</w:t>
      </w:r>
      <w:r>
        <w:rPr>
          <w:rFonts w:hint="eastAsia" w:ascii="仿宋_GB2312" w:hAnsi="仿宋_GB2312" w:eastAsia="仿宋_GB2312" w:cs="仿宋_GB2312"/>
          <w:spacing w:val="-55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</w:rPr>
        <w:t>2021</w:t>
      </w:r>
      <w:r>
        <w:rPr>
          <w:rFonts w:hint="eastAsia" w:ascii="仿宋_GB2312" w:hAnsi="仿宋_GB2312" w:eastAsia="仿宋_GB2312" w:cs="仿宋_GB2312"/>
          <w:spacing w:val="-4"/>
        </w:rPr>
        <w:t>年</w:t>
      </w:r>
      <w:r>
        <w:rPr>
          <w:rFonts w:hint="eastAsia" w:ascii="仿宋_GB2312" w:hAnsi="仿宋_GB2312" w:eastAsia="仿宋_GB2312" w:cs="仿宋_GB2312"/>
          <w:spacing w:val="-60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</w:rPr>
        <w:t>9月和</w:t>
      </w:r>
      <w:r>
        <w:rPr>
          <w:rFonts w:hint="eastAsia" w:ascii="仿宋_GB2312" w:hAnsi="仿宋_GB2312" w:eastAsia="仿宋_GB2312" w:cs="仿宋_GB2312"/>
          <w:spacing w:val="-55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</w:rPr>
        <w:t>2022年5月开展“青柠工程、菁英工程、匠人工程、名师工程、</w:t>
      </w:r>
      <w:r>
        <w:rPr>
          <w:rFonts w:hint="eastAsia" w:ascii="仿宋_GB2312" w:hAnsi="仿宋_GB2312" w:eastAsia="仿宋_GB2312" w:cs="仿宋_GB2312"/>
          <w:spacing w:val="2"/>
        </w:rPr>
        <w:t>名匠工程</w:t>
      </w:r>
      <w:r>
        <w:rPr>
          <w:rFonts w:hint="eastAsia" w:ascii="仿宋_GB2312" w:hAnsi="仿宋_GB2312" w:eastAsia="仿宋_GB2312" w:cs="仿宋_GB2312"/>
          <w:spacing w:val="-100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</w:rPr>
        <w:t>”培养对象遴选工作，促进青年教师、专业教</w:t>
      </w:r>
      <w:r>
        <w:rPr>
          <w:rFonts w:hint="eastAsia" w:ascii="仿宋_GB2312" w:hAnsi="仿宋_GB2312" w:eastAsia="仿宋_GB2312" w:cs="仿宋_GB2312"/>
          <w:spacing w:val="1"/>
        </w:rPr>
        <w:t>师、骨干教师、专</w:t>
      </w:r>
      <w:r>
        <w:rPr>
          <w:rFonts w:hint="eastAsia" w:ascii="仿宋_GB2312" w:hAnsi="仿宋_GB2312" w:eastAsia="仿宋_GB2312" w:cs="仿宋_GB2312"/>
          <w:spacing w:val="3"/>
        </w:rPr>
        <w:t>业带头人和企业兼职教师发展。经教师本人申报、专业群推荐及“强师铸</w:t>
      </w:r>
      <w:r>
        <w:rPr>
          <w:rFonts w:hint="eastAsia" w:ascii="仿宋_GB2312" w:hAnsi="仿宋_GB2312" w:eastAsia="仿宋_GB2312" w:cs="仿宋_GB2312"/>
        </w:rPr>
        <w:t>魂工程</w:t>
      </w:r>
      <w:r>
        <w:rPr>
          <w:rFonts w:hint="eastAsia" w:ascii="仿宋_GB2312" w:hAnsi="仿宋_GB2312" w:eastAsia="仿宋_GB2312" w:cs="仿宋_GB2312"/>
          <w:spacing w:val="-103"/>
        </w:rPr>
        <w:t xml:space="preserve"> </w:t>
      </w:r>
      <w:r>
        <w:rPr>
          <w:rFonts w:hint="eastAsia" w:ascii="仿宋_GB2312" w:hAnsi="仿宋_GB2312" w:eastAsia="仿宋_GB2312" w:cs="仿宋_GB2312"/>
        </w:rPr>
        <w:t>”建设领导小组讨论，共评选出“强师铸魂工程</w:t>
      </w:r>
      <w:r>
        <w:rPr>
          <w:rFonts w:hint="eastAsia" w:ascii="仿宋_GB2312" w:hAnsi="仿宋_GB2312" w:eastAsia="仿宋_GB2312" w:cs="仿宋_GB2312"/>
          <w:spacing w:val="-103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</w:rPr>
        <w:t>”系列“青柠工程</w:t>
      </w:r>
      <w:r>
        <w:rPr>
          <w:rFonts w:hint="eastAsia" w:ascii="仿宋_GB2312" w:hAnsi="仿宋_GB2312" w:eastAsia="仿宋_GB2312" w:cs="仿宋_GB2312"/>
          <w:spacing w:val="-103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</w:rPr>
        <w:t>”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</w:rPr>
        <w:t>26</w:t>
      </w:r>
      <w:r>
        <w:rPr>
          <w:rFonts w:hint="eastAsia" w:ascii="仿宋_GB2312" w:hAnsi="仿宋_GB2312" w:eastAsia="仿宋_GB2312" w:cs="仿宋_GB2312"/>
          <w:spacing w:val="23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</w:rPr>
        <w:t>人、“菁英工程</w:t>
      </w:r>
      <w:r>
        <w:rPr>
          <w:rFonts w:hint="eastAsia" w:ascii="仿宋_GB2312" w:hAnsi="仿宋_GB2312" w:eastAsia="仿宋_GB2312" w:cs="仿宋_GB2312"/>
          <w:spacing w:val="-103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</w:rPr>
        <w:t>”</w:t>
      </w:r>
      <w:r>
        <w:rPr>
          <w:rFonts w:hint="eastAsia" w:ascii="仿宋_GB2312" w:hAnsi="仿宋_GB2312" w:eastAsia="仿宋_GB2312" w:cs="仿宋_GB2312"/>
          <w:spacing w:val="-21"/>
        </w:rPr>
        <w:t>49</w:t>
      </w:r>
      <w:r>
        <w:rPr>
          <w:rFonts w:hint="eastAsia" w:ascii="仿宋_GB2312" w:hAnsi="仿宋_GB2312" w:eastAsia="仿宋_GB2312" w:cs="仿宋_GB2312"/>
          <w:spacing w:val="19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</w:rPr>
        <w:t>人、“名师工程</w:t>
      </w:r>
      <w:r>
        <w:rPr>
          <w:rFonts w:hint="eastAsia" w:ascii="仿宋_GB2312" w:hAnsi="仿宋_GB2312" w:eastAsia="仿宋_GB2312" w:cs="仿宋_GB2312"/>
          <w:spacing w:val="-103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</w:rPr>
        <w:t>”</w:t>
      </w:r>
      <w:r>
        <w:rPr>
          <w:rFonts w:hint="eastAsia" w:ascii="仿宋_GB2312" w:hAnsi="仿宋_GB2312" w:eastAsia="仿宋_GB2312" w:cs="仿宋_GB2312"/>
          <w:spacing w:val="-21"/>
        </w:rPr>
        <w:t>20</w:t>
      </w:r>
      <w:r>
        <w:rPr>
          <w:rFonts w:hint="eastAsia" w:ascii="仿宋_GB2312" w:hAnsi="仿宋_GB2312" w:eastAsia="仿宋_GB2312" w:cs="仿宋_GB2312"/>
          <w:spacing w:val="2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</w:rPr>
        <w:t>人、“名匠工程</w:t>
      </w:r>
      <w:r>
        <w:rPr>
          <w:rFonts w:hint="eastAsia" w:ascii="仿宋_GB2312" w:hAnsi="仿宋_GB2312" w:eastAsia="仿宋_GB2312" w:cs="仿宋_GB2312"/>
          <w:spacing w:val="-103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</w:rPr>
        <w:t>”</w:t>
      </w:r>
      <w:r>
        <w:rPr>
          <w:rFonts w:hint="eastAsia" w:ascii="仿宋_GB2312" w:hAnsi="仿宋_GB2312" w:eastAsia="仿宋_GB2312" w:cs="仿宋_GB2312"/>
          <w:spacing w:val="-21"/>
        </w:rPr>
        <w:t>4</w:t>
      </w:r>
      <w:r>
        <w:rPr>
          <w:rFonts w:hint="eastAsia" w:ascii="仿宋_GB2312" w:hAnsi="仿宋_GB2312" w:eastAsia="仿宋_GB2312" w:cs="仿宋_GB2312"/>
          <w:spacing w:val="19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</w:rPr>
        <w:t>人，另外“匠</w:t>
      </w:r>
      <w:r>
        <w:rPr>
          <w:rFonts w:hint="eastAsia" w:ascii="仿宋_GB2312" w:hAnsi="仿宋_GB2312" w:eastAsia="仿宋_GB2312" w:cs="仿宋_GB2312"/>
          <w:spacing w:val="-4"/>
        </w:rPr>
        <w:t>人工程</w:t>
      </w:r>
      <w:r>
        <w:rPr>
          <w:rFonts w:hint="eastAsia" w:ascii="仿宋_GB2312" w:hAnsi="仿宋_GB2312" w:eastAsia="仿宋_GB2312" w:cs="仿宋_GB2312"/>
          <w:spacing w:val="-94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</w:rPr>
        <w:t>”则面向全体专业教师。</w:t>
      </w:r>
    </w:p>
    <w:p w14:paraId="56ED597B">
      <w:pPr>
        <w:pStyle w:val="2"/>
        <w:spacing w:before="266" w:line="402" w:lineRule="auto"/>
        <w:ind w:right="281" w:firstLine="564"/>
        <w:rPr>
          <w:rFonts w:hint="eastAsia" w:ascii="仿宋_GB2312" w:hAnsi="仿宋_GB2312" w:eastAsia="仿宋_GB2312" w:cs="仿宋_GB2312"/>
          <w:spacing w:val="3"/>
        </w:rPr>
      </w:pPr>
      <w:r>
        <w:rPr>
          <w:rFonts w:hint="eastAsia" w:ascii="仿宋_GB2312" w:hAnsi="仿宋_GB2312" w:eastAsia="仿宋_GB2312" w:cs="仿宋_GB2312"/>
          <w:spacing w:val="3"/>
        </w:rPr>
        <w:t xml:space="preserve">学校重视对各工程教师的培养，学校、校区（专业部）及科组制定培 </w:t>
      </w:r>
      <w:r>
        <w:rPr>
          <w:rFonts w:hint="eastAsia" w:ascii="仿宋_GB2312" w:hAnsi="仿宋_GB2312" w:eastAsia="仿宋_GB2312" w:cs="仿宋_GB2312"/>
          <w:spacing w:val="3"/>
        </w:rPr>
        <w:t>养方案，确定培养目标、内容、方式和课程计划，强化对培养对象的培养 工作。面向青年教师实施“青柠工程 ”，安排德技双馨的教师与其进行一对 一“师徒结对 ”，实现青年教师师德有标准、教学有向导；面向专业教师， 以工匠精神为核心，实施“匠人工程 ”，提升学历水平和职业资格证书等级， 打造高水平双师队伍；面向骨干教师，实施“菁英工程 ”，做好学校专业带 头人梯队建设和培养规划；面向名师，实施“名师工程 ”，充分发挥名师工 作室的引领和辐射作用，培育更多骨干教师成长为名师；实施“名匠工程 ”， 引进企业高水平技术技能大师，在校内建立“大师工作室 ”，培育更多专业 教师成长为“大城工匠 ”。</w:t>
      </w:r>
    </w:p>
    <w:p w14:paraId="7677C84F">
      <w:pPr>
        <w:pStyle w:val="2"/>
        <w:spacing w:before="266" w:line="402" w:lineRule="auto"/>
        <w:ind w:right="281" w:firstLine="564"/>
        <w:rPr>
          <w:rFonts w:hint="eastAsia" w:ascii="仿宋_GB2312" w:hAnsi="仿宋_GB2312" w:eastAsia="仿宋_GB2312" w:cs="仿宋_GB2312"/>
          <w:spacing w:val="3"/>
        </w:rPr>
      </w:pPr>
      <w:r>
        <w:rPr>
          <w:rFonts w:hint="eastAsia" w:ascii="仿宋_GB2312" w:hAnsi="仿宋_GB2312" w:eastAsia="仿宋_GB2312" w:cs="仿宋_GB2312"/>
          <w:spacing w:val="3"/>
        </w:rPr>
        <w:t xml:space="preserve">截止 2022 年 12 月，各工程教师积极参加国培省培提升教育教学能力， </w:t>
      </w:r>
      <w:r>
        <w:rPr>
          <w:rFonts w:hint="eastAsia" w:ascii="仿宋_GB2312" w:hAnsi="仿宋_GB2312" w:eastAsia="仿宋_GB2312" w:cs="仿宋_GB2312"/>
          <w:spacing w:val="3"/>
        </w:rPr>
        <w:t>积极参与课题研究和论文撰写提高教研水平，参加或指导学生参加各级各 类技能竞赛均取得优异的成绩。此外，我校在 2022年佛山市禅城区各项教师评优评比中共获名教师 11 人、骨干教师 14 人、首席班主任 1 人、名班主任 2 人、德育名师 1人、骨干班主任 4 人、教坛新秀 4 人、学科优秀青年教师 8人。</w:t>
      </w:r>
    </w:p>
    <w:sectPr>
      <w:headerReference r:id="rId5" w:type="default"/>
      <w:footerReference r:id="rId6" w:type="default"/>
      <w:pgSz w:w="11906" w:h="16839"/>
      <w:pgMar w:top="1431" w:right="1417" w:bottom="0" w:left="1428" w:header="0" w:footer="7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730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2AA7C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2AA7C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94F44">
    <w:pPr>
      <w:spacing w:before="141" w:line="183" w:lineRule="auto"/>
      <w:jc w:val="both"/>
      <w:rPr>
        <w:rFonts w:ascii="微软雅黑" w:hAnsi="微软雅黑" w:eastAsia="微软雅黑" w:cs="微软雅黑"/>
        <w:color w:val="008C37"/>
        <w:spacing w:val="-1"/>
        <w:sz w:val="18"/>
        <w:szCs w:val="18"/>
      </w:rPr>
    </w:pPr>
  </w:p>
  <w:p w14:paraId="2F82E45F">
    <w:pPr>
      <w:spacing w:before="141" w:line="183" w:lineRule="auto"/>
      <w:jc w:val="right"/>
      <w:rPr>
        <w:rFonts w:ascii="微软雅黑" w:hAnsi="微软雅黑" w:eastAsia="微软雅黑" w:cs="微软雅黑"/>
        <w:color w:val="008C37"/>
        <w:spacing w:val="-1"/>
        <w:sz w:val="18"/>
        <w:szCs w:val="18"/>
      </w:rPr>
    </w:pPr>
  </w:p>
  <w:p w14:paraId="3B862E31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before="261" w:line="183" w:lineRule="auto"/>
      <w:jc w:val="right"/>
      <w:textAlignment w:val="baseline"/>
      <w:rPr>
        <w:rFonts w:ascii="微软雅黑" w:hAnsi="微软雅黑" w:eastAsia="微软雅黑" w:cs="微软雅黑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610870</wp:posOffset>
              </wp:positionH>
              <wp:positionV relativeFrom="page">
                <wp:posOffset>871220</wp:posOffset>
              </wp:positionV>
              <wp:extent cx="6398260" cy="6350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8260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10075" h="10">
                            <a:moveTo>
                              <a:pt x="0" y="0"/>
                            </a:moveTo>
                            <a:lnTo>
                              <a:pt x="10075" y="0"/>
                            </a:lnTo>
                            <a:lnTo>
                              <a:pt x="10075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48.1pt;margin-top:68.6pt;height:0.5pt;width:503.8pt;mso-position-horizontal-relative:page;mso-position-vertical-relative:page;z-index:251660288;mso-width-relative:page;mso-height-relative:page;" fillcolor="#000000" filled="t" stroked="f" coordsize="10075,10" o:allowincell="f" o:gfxdata="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gqtktYAAAALAQAADwAAAAAAAAABACAAAAAi&#10;AAAAZHJzL2Rvd25yZXYueG1sUEsBAhQAFAAAAAgAh07iQOqaAy8MAgAAfAQAAA4AAAAAAAAAAQAg&#10;AAAAJQEAAGRycy9lMm9Eb2MueG1sUEsFBgAAAAAGAAYAWQEAAKMFAAAAAA==&#10;" path="m0,0l10075,0,10075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610870</wp:posOffset>
          </wp:positionH>
          <wp:positionV relativeFrom="page">
            <wp:posOffset>553085</wp:posOffset>
          </wp:positionV>
          <wp:extent cx="2592070" cy="304800"/>
          <wp:effectExtent l="0" t="0" r="1778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324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color w:val="008C37"/>
        <w:spacing w:val="-1"/>
        <w:sz w:val="18"/>
        <w:szCs w:val="18"/>
      </w:rPr>
      <w:t>计算机网络专业双精准材料</w:t>
    </w:r>
  </w:p>
  <w:p w14:paraId="273C345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kNzkwMmQxZjExYTUwMzM4ZGM5N2VhZmRkOTJlYTgifQ=="/>
  </w:docVars>
  <w:rsids>
    <w:rsidRoot w:val="00000000"/>
    <w:rsid w:val="03EE008B"/>
    <w:rsid w:val="57210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715</Words>
  <Characters>739</Characters>
  <TotalTime>3</TotalTime>
  <ScaleCrop>false</ScaleCrop>
  <LinksUpToDate>false</LinksUpToDate>
  <CharactersWithSpaces>817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2022-12-27T13:16:00Z</dcterms:created>
  <dc:creator>12037</dc:creator>
  <cp:lastModifiedBy>杨煜新</cp:lastModifiedBy>
  <dcterms:modified xsi:type="dcterms:W3CDTF">2024-12-05T07:40:23Z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2024-12-02T16:47:30Z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5442497AFD5D4D36824563BF1442C111_12</vt:lpwstr>
  </property>
</Properties>
</file>