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9B778">
      <w:pPr>
        <w:pStyle w:val="2"/>
        <w:jc w:val="center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专业教学资源库建设</w:t>
      </w:r>
    </w:p>
    <w:p w14:paraId="3CA704AA">
      <w:pPr>
        <w:pStyle w:val="2"/>
        <w:jc w:val="center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28"/>
          <w:szCs w:val="28"/>
        </w:rPr>
        <w:t>6.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2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2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3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5计算机网络技术专业在线精品开放课程建设方案</w:t>
      </w:r>
    </w:p>
    <w:p w14:paraId="033AD00B"/>
    <w:p w14:paraId="258C18BC">
      <w:pPr>
        <w:pStyle w:val="2"/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建设</w:t>
      </w:r>
      <w:r>
        <w:rPr>
          <w:rFonts w:hint="eastAsia" w:ascii="仿宋_GB2312" w:hAnsi="仿宋_GB2312" w:eastAsia="仿宋_GB2312" w:cs="仿宋_GB2312"/>
          <w:sz w:val="28"/>
          <w:szCs w:val="28"/>
        </w:rPr>
        <w:t>意义</w:t>
      </w:r>
    </w:p>
    <w:p w14:paraId="3E4162C8">
      <w:pPr>
        <w:spacing w:line="360" w:lineRule="auto"/>
        <w:ind w:firstLine="42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为加快我校课程建设与改革的步伐，推动优质教学资源校内共建共享，线上开放学习，提高办学效益和人才培养质量，根据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计算机网络专业教学工作诊断与改进工作、广东省“双精准”计算机网络</w:t>
      </w:r>
      <w:r>
        <w:rPr>
          <w:rFonts w:hint="eastAsia" w:ascii="仿宋_GB2312" w:hAnsi="仿宋_GB2312" w:eastAsia="仿宋_GB2312" w:cs="仿宋_GB2312"/>
          <w:sz w:val="28"/>
          <w:szCs w:val="28"/>
        </w:rPr>
        <w:t>专业建设项目实际工作要求，建设中等职业教育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计算机网络在线精品开放课程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246A6D43">
      <w:pPr>
        <w:spacing w:line="360" w:lineRule="auto"/>
        <w:ind w:firstLine="42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在线精品开放课程</w:t>
      </w:r>
      <w:r>
        <w:rPr>
          <w:rFonts w:hint="eastAsia" w:ascii="仿宋_GB2312" w:hAnsi="仿宋_GB2312" w:eastAsia="仿宋_GB2312" w:cs="仿宋_GB2312"/>
          <w:sz w:val="28"/>
          <w:szCs w:val="28"/>
        </w:rPr>
        <w:t>建设的意义在于实现优质教学资源共享，全方位满足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计算机网络专业教师教学、学生学习、考证培训、社会学习者自主学习等需求</w:t>
      </w:r>
      <w:r>
        <w:rPr>
          <w:rFonts w:hint="eastAsia" w:ascii="仿宋_GB2312" w:hAnsi="仿宋_GB2312" w:eastAsia="仿宋_GB2312" w:cs="仿宋_GB2312"/>
          <w:sz w:val="28"/>
          <w:szCs w:val="28"/>
        </w:rPr>
        <w:t>，进而推动专业教学模式和教学方法改革，促进人才培养质量和社会服务能力的提升。</w:t>
      </w:r>
    </w:p>
    <w:p w14:paraId="7E8EE49B">
      <w:pPr>
        <w:pStyle w:val="2"/>
        <w:numPr>
          <w:ilvl w:val="0"/>
          <w:numId w:val="1"/>
        </w:num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建设目标</w:t>
      </w:r>
    </w:p>
    <w:p w14:paraId="4E343B6C">
      <w:pPr>
        <w:spacing w:line="360" w:lineRule="auto"/>
        <w:ind w:firstLine="42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建设面向计算机网络专业,以核心课程为重点,针对不同层次的学习者和课程要求，利用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在线精品开放</w:t>
      </w:r>
      <w:r>
        <w:rPr>
          <w:rFonts w:hint="eastAsia" w:ascii="仿宋_GB2312" w:hAnsi="仿宋_GB2312" w:eastAsia="仿宋_GB2312" w:cs="仿宋_GB2312"/>
          <w:sz w:val="28"/>
          <w:szCs w:val="28"/>
        </w:rPr>
        <w:t>课程平台，灵活教学内容，辅助教学实施，使信息技术与教育教学深度融合、深化人才培养模式改革、尝试和探索翻转课堂和混合式教学，并在使用过程中不断完善、使之在中职同类行业中推广使用,实现共享,带动教学模式和教学方法的系统化改革,成为省内具有示范性作用的实用、优质的教学、培训资源。主要目标有：</w:t>
      </w:r>
    </w:p>
    <w:p w14:paraId="782E019A">
      <w:pPr>
        <w:spacing w:line="360" w:lineRule="auto"/>
        <w:ind w:firstLine="420"/>
        <w:rPr>
          <w:rFonts w:hint="eastAsia" w:ascii="仿宋_GB2312" w:hAnsi="仿宋_GB2312" w:eastAsia="仿宋_GB2312" w:cs="仿宋_GB2312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（1）建立在线精品开放课程，达到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计算机网络专业相关课程“能学、辅教”的目标。初步</w:t>
      </w:r>
      <w:r>
        <w:rPr>
          <w:rFonts w:hint="eastAsia" w:ascii="仿宋_GB2312" w:hAnsi="仿宋_GB2312" w:eastAsia="仿宋_GB2312" w:cs="仿宋_GB2312"/>
          <w:sz w:val="28"/>
          <w:szCs w:val="28"/>
        </w:rPr>
        <w:t>在线精品开放课程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：网络服务器配置与管理、信息技术、路由器与交换机共4门在线精品课程；</w:t>
      </w:r>
    </w:p>
    <w:p w14:paraId="401FC2C9">
      <w:pPr>
        <w:spacing w:line="360" w:lineRule="auto"/>
        <w:ind w:firstLine="420"/>
        <w:rPr>
          <w:rFonts w:hint="eastAsia" w:ascii="仿宋_GB2312" w:hAnsi="仿宋_GB2312" w:eastAsia="仿宋_GB2312" w:cs="仿宋_GB2312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具体人员与合作企业安排如下：</w:t>
      </w:r>
    </w:p>
    <w:tbl>
      <w:tblPr>
        <w:tblStyle w:val="8"/>
        <w:tblW w:w="8551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2693"/>
        <w:gridCol w:w="1418"/>
        <w:gridCol w:w="2551"/>
      </w:tblGrid>
      <w:tr w14:paraId="41A9A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D06C1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DCB6D7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团队教师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198231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平台名称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6BC245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合作企业</w:t>
            </w:r>
          </w:p>
        </w:tc>
      </w:tr>
      <w:tr w14:paraId="6546F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3443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网络服务器配置与管理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001DC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陈启浓、邓俊英、苏秦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0DDD8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智慧职教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5E868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广州神州数码信息科技有限公司</w:t>
            </w:r>
          </w:p>
        </w:tc>
      </w:tr>
      <w:tr w14:paraId="45641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20EB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信息技术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6AEDC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邓俊英、谢翠芬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E7DA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智慧职教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B79FE8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广州鼎兴文化有限公司</w:t>
            </w:r>
          </w:p>
        </w:tc>
      </w:tr>
      <w:tr w14:paraId="2A1B6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30ED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路由器与交换机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403D6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郭剑聪、欧海明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6A61A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智慧职教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EC0CBB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广州神州数码信息科技有限公司</w:t>
            </w:r>
          </w:p>
        </w:tc>
      </w:tr>
      <w:tr w14:paraId="798BFF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8C506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界面设计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E685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黄为、涂浩、翟草霞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C2D44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智慧职教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014990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佛山市星睿文化传播公司</w:t>
            </w:r>
          </w:p>
        </w:tc>
      </w:tr>
    </w:tbl>
    <w:p w14:paraId="1E3F8489">
      <w:pPr>
        <w:spacing w:line="360" w:lineRule="auto"/>
        <w:ind w:firstLine="420"/>
        <w:rPr>
          <w:rFonts w:hint="eastAsia" w:ascii="仿宋_GB2312" w:hAnsi="仿宋_GB2312" w:eastAsia="仿宋_GB2312" w:cs="仿宋_GB2312"/>
          <w:sz w:val="28"/>
          <w:szCs w:val="28"/>
          <w:lang w:val="zh-CN"/>
        </w:rPr>
      </w:pPr>
    </w:p>
    <w:p w14:paraId="451EE5DB">
      <w:pPr>
        <w:spacing w:line="360" w:lineRule="auto"/>
        <w:ind w:firstLine="42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（2）不断更新教学内容，使教学内容更加合理、科学。通过微课程、动画、虚拟仿真教学，提高学生的学习能力和实践能力。</w:t>
      </w:r>
    </w:p>
    <w:p w14:paraId="6EF170C4">
      <w:pPr>
        <w:spacing w:line="360" w:lineRule="auto"/>
        <w:ind w:firstLine="42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（3）完善各类题库建设，改革传统的学习方式，实现校内共享；</w:t>
      </w:r>
    </w:p>
    <w:p w14:paraId="6049C4B2">
      <w:pPr>
        <w:spacing w:line="360" w:lineRule="auto"/>
        <w:ind w:firstLine="42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（4）建立并完善好开放课程与主讲教师互动平台，实现网络教学与辅导，达到校外开放目的。</w:t>
      </w:r>
    </w:p>
    <w:p w14:paraId="7FF1FBF0">
      <w:pPr>
        <w:pStyle w:val="2"/>
        <w:numPr>
          <w:ilvl w:val="0"/>
          <w:numId w:val="1"/>
        </w:num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建设思路</w:t>
      </w:r>
    </w:p>
    <w:p w14:paraId="0AC30A30">
      <w:pPr>
        <w:spacing w:line="360" w:lineRule="auto"/>
        <w:ind w:firstLine="42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每门在线精品开放</w:t>
      </w:r>
      <w:r>
        <w:rPr>
          <w:rFonts w:hint="eastAsia" w:ascii="仿宋_GB2312" w:hAnsi="仿宋_GB2312" w:eastAsia="仿宋_GB2312" w:cs="仿宋_GB2312"/>
          <w:sz w:val="28"/>
          <w:szCs w:val="28"/>
        </w:rPr>
        <w:t>课程建设涵盖课程标准规定内容、覆盖课程所有知识点和技能点，包括教学设计、教学实施。教学过程、教学评价等环节，支持线上教学和线上线下混合教学。</w:t>
      </w:r>
    </w:p>
    <w:p w14:paraId="2019AAF0">
      <w:pPr>
        <w:spacing w:line="360" w:lineRule="auto"/>
        <w:ind w:firstLine="42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（1）课程介绍、授课计划：制定包括课程内容、涉及领域、适应岗位、对应职业等详实的课程介绍。</w:t>
      </w:r>
    </w:p>
    <w:p w14:paraId="51E420D1">
      <w:pPr>
        <w:spacing w:line="360" w:lineRule="auto"/>
        <w:ind w:firstLine="42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（2）课程标准：制定与优化包括教学设计、课程设置、教学内容、教学实施、教学评价、教学环节设计、实训项目设计等内容的课程标准。</w:t>
      </w:r>
    </w:p>
    <w:p w14:paraId="32EDC046">
      <w:pPr>
        <w:spacing w:line="360" w:lineRule="auto"/>
        <w:ind w:firstLine="42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（3）教案和演示文稿：制作含授课内容、知识要求、教学要点、重点难点、解决措施、教学改进意见等word文档教案；制作涵盖所有章节、所有项目和知识点的教学ppt。</w:t>
      </w:r>
    </w:p>
    <w:p w14:paraId="61893059">
      <w:pPr>
        <w:spacing w:line="360" w:lineRule="auto"/>
        <w:ind w:firstLine="42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（4）单元作业：根据学习进度、重点难点知识等情况，设计编制知识巩固型、技能训练型、技能创新型、技能竞赛型等类型的单元作业。。</w:t>
      </w:r>
    </w:p>
    <w:p w14:paraId="71F879CB">
      <w:pPr>
        <w:spacing w:line="360" w:lineRule="auto"/>
        <w:ind w:firstLine="42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（5）微课程：根据教学目标、内容要求、网络使用特点，制作围绕技能点展开、清晰表达知识框架等特点约5-15分钟时长的微课程视频。</w:t>
      </w:r>
    </w:p>
    <w:p w14:paraId="338F2AD0">
      <w:pPr>
        <w:pStyle w:val="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四、建设规划</w:t>
      </w:r>
    </w:p>
    <w:p w14:paraId="273E4368">
      <w:pPr>
        <w:spacing w:line="360" w:lineRule="auto"/>
        <w:ind w:firstLine="42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学校各级部门高度重视精品在线课程的建设，在政策支持、人员配备、课程建设、经费投入等方面都有良好保障。</w:t>
      </w:r>
    </w:p>
    <w:p w14:paraId="253D1E0F">
      <w:pPr>
        <w:spacing w:line="360" w:lineRule="auto"/>
        <w:ind w:firstLine="42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（1）第一阶段：根据相应课程标准，建立和完善课程结构框架，包括课件、教学视频、指导资料，课堂小测和考试系统。（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2021年2月-2022年1月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</w:p>
    <w:p w14:paraId="4C10BBF2">
      <w:pPr>
        <w:spacing w:line="360" w:lineRule="auto"/>
        <w:ind w:firstLine="42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（2）第二阶段：加大校企合作深度，进一步扩大项目实践范围 。（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2022年2月-2022年12月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</w:p>
    <w:p w14:paraId="42FB20D5">
      <w:pPr>
        <w:spacing w:line="360" w:lineRule="auto"/>
        <w:ind w:firstLine="42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（3）第三阶段：综合前面工作量，整合完善精品在线课程。（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2023年1月—202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"/>
        </w:rPr>
        <w:t>4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"/>
        </w:rPr>
        <w:t>10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"/>
        </w:rPr>
        <w:t>31日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</w:p>
    <w:p w14:paraId="777212EF">
      <w:pPr>
        <w:pStyle w:val="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五、预期效益或标志性成果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4678"/>
        <w:gridCol w:w="1638"/>
      </w:tblGrid>
      <w:tr w14:paraId="177E0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D3E7D">
            <w:pPr>
              <w:pStyle w:val="13"/>
              <w:spacing w:line="360" w:lineRule="auto"/>
              <w:ind w:firstLine="0" w:firstLineChars="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FDFEE">
            <w:pPr>
              <w:pStyle w:val="13"/>
              <w:spacing w:line="360" w:lineRule="auto"/>
              <w:ind w:firstLine="0" w:firstLineChars="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标志性成果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E4F8E">
            <w:pPr>
              <w:pStyle w:val="13"/>
              <w:spacing w:line="360" w:lineRule="auto"/>
              <w:ind w:firstLine="0" w:firstLineChars="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数量</w:t>
            </w:r>
          </w:p>
        </w:tc>
      </w:tr>
      <w:tr w14:paraId="58479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D44F9">
            <w:pPr>
              <w:pStyle w:val="13"/>
              <w:spacing w:line="360" w:lineRule="auto"/>
              <w:ind w:firstLine="0" w:firstLineChars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C0504">
            <w:pPr>
              <w:pStyle w:val="13"/>
              <w:spacing w:line="360" w:lineRule="auto"/>
              <w:ind w:firstLine="0" w:firstLineChars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核心课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4FF64">
            <w:pPr>
              <w:pStyle w:val="13"/>
              <w:spacing w:line="360" w:lineRule="auto"/>
              <w:ind w:firstLine="0" w:firstLineChars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</w:tr>
      <w:tr w14:paraId="06B90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217A3">
            <w:pPr>
              <w:pStyle w:val="13"/>
              <w:spacing w:line="360" w:lineRule="auto"/>
              <w:ind w:firstLine="0" w:firstLineChars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0B7E9">
            <w:pPr>
              <w:pStyle w:val="13"/>
              <w:spacing w:line="360" w:lineRule="auto"/>
              <w:ind w:firstLine="0" w:firstLineChars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建设平台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46682">
            <w:pPr>
              <w:pStyle w:val="13"/>
              <w:spacing w:line="360" w:lineRule="auto"/>
              <w:ind w:firstLine="0" w:firstLineChars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</w:tr>
      <w:tr w14:paraId="2D715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BC3F3">
            <w:pPr>
              <w:pStyle w:val="13"/>
              <w:spacing w:line="360" w:lineRule="auto"/>
              <w:ind w:firstLine="0" w:firstLineChars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9BDB2">
            <w:pPr>
              <w:pStyle w:val="13"/>
              <w:spacing w:line="360" w:lineRule="auto"/>
              <w:ind w:firstLine="0" w:firstLineChars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课程项目数量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A9227">
            <w:pPr>
              <w:pStyle w:val="13"/>
              <w:spacing w:line="360" w:lineRule="auto"/>
              <w:ind w:firstLine="0" w:firstLineChars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60</w:t>
            </w:r>
          </w:p>
        </w:tc>
      </w:tr>
      <w:tr w14:paraId="487DE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D0C22">
            <w:pPr>
              <w:pStyle w:val="13"/>
              <w:spacing w:line="360" w:lineRule="auto"/>
              <w:ind w:firstLine="0" w:firstLineChars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5430B">
            <w:pPr>
              <w:pStyle w:val="13"/>
              <w:spacing w:line="360" w:lineRule="auto"/>
              <w:ind w:firstLine="0" w:firstLineChars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微课数量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44EF4">
            <w:pPr>
              <w:pStyle w:val="13"/>
              <w:spacing w:line="360" w:lineRule="auto"/>
              <w:ind w:firstLine="0" w:firstLineChars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70</w:t>
            </w:r>
          </w:p>
        </w:tc>
      </w:tr>
      <w:tr w14:paraId="0EFCC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07CDE">
            <w:pPr>
              <w:pStyle w:val="13"/>
              <w:spacing w:line="360" w:lineRule="auto"/>
              <w:ind w:firstLine="0" w:firstLineChars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2BFDE">
            <w:pPr>
              <w:pStyle w:val="13"/>
              <w:spacing w:line="360" w:lineRule="auto"/>
              <w:ind w:firstLine="0" w:firstLineChars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PPT数量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A171D">
            <w:pPr>
              <w:pStyle w:val="13"/>
              <w:spacing w:line="360" w:lineRule="auto"/>
              <w:ind w:firstLine="0" w:firstLineChars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70</w:t>
            </w:r>
          </w:p>
        </w:tc>
      </w:tr>
      <w:tr w14:paraId="6ED57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AF337">
            <w:pPr>
              <w:pStyle w:val="13"/>
              <w:spacing w:line="360" w:lineRule="auto"/>
              <w:ind w:firstLine="0" w:firstLineChars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34F8D">
            <w:pPr>
              <w:pStyle w:val="13"/>
              <w:spacing w:line="360" w:lineRule="auto"/>
              <w:ind w:firstLine="0" w:firstLineChars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其他素材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10D0B">
            <w:pPr>
              <w:pStyle w:val="13"/>
              <w:spacing w:line="360" w:lineRule="auto"/>
              <w:ind w:firstLine="0" w:firstLineChars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1000</w:t>
            </w:r>
          </w:p>
        </w:tc>
      </w:tr>
      <w:tr w14:paraId="2AD6A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98896">
            <w:pPr>
              <w:pStyle w:val="13"/>
              <w:spacing w:line="360" w:lineRule="auto"/>
              <w:ind w:firstLine="0" w:firstLineChars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EEB34">
            <w:pPr>
              <w:pStyle w:val="13"/>
              <w:spacing w:line="360" w:lineRule="auto"/>
              <w:ind w:firstLine="0" w:firstLineChars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试题库数量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AE988">
            <w:pPr>
              <w:pStyle w:val="13"/>
              <w:spacing w:line="360" w:lineRule="auto"/>
              <w:ind w:firstLine="0" w:firstLineChars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4000</w:t>
            </w:r>
          </w:p>
        </w:tc>
      </w:tr>
    </w:tbl>
    <w:p w14:paraId="7E3588AE">
      <w:pPr>
        <w:pStyle w:val="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六、辐射带动</w:t>
      </w:r>
    </w:p>
    <w:p w14:paraId="599A2DAE">
      <w:pPr>
        <w:spacing w:line="360" w:lineRule="auto"/>
        <w:ind w:firstLine="42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本次投入建设4门计算机网络专业相关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在线精品开放</w:t>
      </w:r>
      <w:r>
        <w:rPr>
          <w:rFonts w:hint="eastAsia" w:ascii="仿宋_GB2312" w:hAnsi="仿宋_GB2312" w:eastAsia="仿宋_GB2312" w:cs="仿宋_GB2312"/>
          <w:sz w:val="28"/>
          <w:szCs w:val="28"/>
        </w:rPr>
        <w:t>课程，课程的建成将推动中职类院校在相应专业课程“教、学、做”一体的深度融合，人才培养模式的深化与改革。</w:t>
      </w:r>
    </w:p>
    <w:p w14:paraId="05D3B854">
      <w:pPr>
        <w:spacing w:line="360" w:lineRule="auto"/>
        <w:ind w:firstLine="42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本次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在线精品开放</w:t>
      </w:r>
      <w:r>
        <w:rPr>
          <w:rFonts w:hint="eastAsia" w:ascii="仿宋_GB2312" w:hAnsi="仿宋_GB2312" w:eastAsia="仿宋_GB2312" w:cs="仿宋_GB2312"/>
          <w:sz w:val="28"/>
          <w:szCs w:val="28"/>
        </w:rPr>
        <w:t>课程的建成将使得有学习意愿并具备基本学习条件的中职学生，教师和社会学习者，均能够通过自主使用精品在线课程实现不同起点的系统化、个性化学习，并实现一定的学习目标。教师可以针对不同的教授对象和课程要求，利用该课程平台，灵活组织教学内容、自主搭建课程、辅助教学实施，实现教学目标。学生通过平台，通过动画变换视角，直观形象地学习抽象的概念，提高学习兴趣和学习积极性。</w:t>
      </w:r>
    </w:p>
    <w:p w14:paraId="34CC5673">
      <w:pPr>
        <w:wordWrap w:val="0"/>
        <w:spacing w:line="360" w:lineRule="auto"/>
        <w:ind w:firstLine="420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计算机网络技术专业  </w:t>
      </w:r>
    </w:p>
    <w:p w14:paraId="51056DF2">
      <w:pPr>
        <w:wordWrap w:val="0"/>
        <w:spacing w:line="360" w:lineRule="auto"/>
        <w:ind w:firstLine="420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2022年6月 （修订）</w:t>
      </w:r>
      <w:r>
        <w:rPr>
          <w:rFonts w:hint="eastAsia" w:ascii="宋体" w:hAnsi="宋体" w:eastAsia="宋体"/>
          <w:sz w:val="28"/>
          <w:szCs w:val="28"/>
        </w:rPr>
        <w:t xml:space="preserve">   </w:t>
      </w:r>
    </w:p>
    <w:p w14:paraId="1A9C73EA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50BB69">
    <w:pPr>
      <w:pStyle w:val="6"/>
      <w:pBdr>
        <w:bottom w:val="single" w:color="auto" w:sz="4" w:space="1"/>
      </w:pBdr>
      <w:tabs>
        <w:tab w:val="left" w:pos="420"/>
      </w:tabs>
      <w:ind w:left="839" w:leftChars="-399" w:right="-932" w:rightChars="-444" w:hanging="1677" w:hangingChars="466"/>
      <w:jc w:val="left"/>
      <w:rPr>
        <w:rFonts w:ascii="楷体_GB2312" w:eastAsia="楷体_GB2312"/>
      </w:rPr>
    </w:pPr>
    <w:r>
      <w:rPr>
        <w:sz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4109085</wp:posOffset>
              </wp:positionH>
              <wp:positionV relativeFrom="paragraph">
                <wp:posOffset>-3810</wp:posOffset>
              </wp:positionV>
              <wp:extent cx="1969770" cy="328930"/>
              <wp:effectExtent l="0" t="0" r="11430" b="1397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9770" cy="328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07F4539">
                          <w:pPr>
                            <w:ind w:right="180"/>
                            <w:jc w:val="right"/>
                            <w:rPr>
                              <w:rFonts w:ascii="华文隶书" w:hAnsi="华文隶书" w:eastAsia="华文隶书" w:cs="华文隶书"/>
                              <w:b/>
                              <w:bCs/>
                              <w:color w:val="008C37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华文隶书" w:hAnsi="华文隶书" w:eastAsia="华文隶书" w:cs="华文隶书"/>
                              <w:b/>
                              <w:bCs/>
                              <w:color w:val="008C37"/>
                              <w:sz w:val="18"/>
                              <w:szCs w:val="18"/>
                            </w:rPr>
                            <w:t>计算机网络专业双精准材料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23.55pt;margin-top:-0.3pt;height:25.9pt;width:155.1pt;z-index:251659264;mso-width-relative:page;mso-height-relative:page;" fillcolor="#FFFFFF" filled="t" stroked="f" coordsize="21600,21600" o:gfxdata="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ksOC+1wAAAAgBAAAPAAAAAAAAAAEAIAAAACIAAABkcnMvZG93bnJldi54&#10;bWxQSwECFAAUAAAACACHTuJAdpSHls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 w14:paraId="307F4539">
                    <w:pPr>
                      <w:ind w:right="180"/>
                      <w:jc w:val="right"/>
                      <w:rPr>
                        <w:rFonts w:ascii="华文隶书" w:hAnsi="华文隶书" w:eastAsia="华文隶书" w:cs="华文隶书"/>
                        <w:b/>
                        <w:bCs/>
                        <w:color w:val="008C37"/>
                        <w:sz w:val="18"/>
                        <w:szCs w:val="18"/>
                      </w:rPr>
                    </w:pPr>
                    <w:r>
                      <w:rPr>
                        <w:rFonts w:hint="eastAsia" w:ascii="华文隶书" w:hAnsi="华文隶书" w:eastAsia="华文隶书" w:cs="华文隶书"/>
                        <w:b/>
                        <w:bCs/>
                        <w:color w:val="008C37"/>
                        <w:sz w:val="18"/>
                        <w:szCs w:val="18"/>
                      </w:rPr>
                      <w:t>计算机网络专业双精准材料</w:t>
                    </w:r>
                  </w:p>
                </w:txbxContent>
              </v:textbox>
            </v:shape>
          </w:pict>
        </mc:Fallback>
      </mc:AlternateContent>
    </w:r>
    <w:r>
      <w:rPr>
        <w:rFonts w:ascii="楷体_GB2312" w:eastAsia="楷体_GB2312"/>
      </w:rPr>
      <w:drawing>
        <wp:inline distT="0" distB="0" distL="114300" distR="114300">
          <wp:extent cx="2592070" cy="305435"/>
          <wp:effectExtent l="0" t="0" r="17780" b="18415"/>
          <wp:docPr id="1" name="图片 1" descr="华材标志（091208）-曲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华材标志（091208）-曲线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2070" cy="3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楷体_GB2312" w:eastAsia="楷体_GB2312"/>
      </w:rPr>
      <w:t xml:space="preserve">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2A36DA"/>
    <w:multiLevelType w:val="multilevel"/>
    <w:tmpl w:val="712A36DA"/>
    <w:lvl w:ilvl="0" w:tentative="0">
      <w:start w:val="1"/>
      <w:numFmt w:val="japaneseCounting"/>
      <w:lvlText w:val="%1、"/>
      <w:lvlJc w:val="left"/>
      <w:pPr>
        <w:ind w:left="620" w:hanging="6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hkNzkwMmQxZjExYTUwMzM4ZGM5N2VhZmRkOTJlYTgifQ=="/>
  </w:docVars>
  <w:rsids>
    <w:rsidRoot w:val="00296096"/>
    <w:rsid w:val="000C79FB"/>
    <w:rsid w:val="00105287"/>
    <w:rsid w:val="00296096"/>
    <w:rsid w:val="0039114F"/>
    <w:rsid w:val="003A625F"/>
    <w:rsid w:val="003E3CB4"/>
    <w:rsid w:val="00423F64"/>
    <w:rsid w:val="004E494E"/>
    <w:rsid w:val="00552A71"/>
    <w:rsid w:val="006F1749"/>
    <w:rsid w:val="00750B25"/>
    <w:rsid w:val="007A0C9F"/>
    <w:rsid w:val="00991D34"/>
    <w:rsid w:val="009E2803"/>
    <w:rsid w:val="00BD5833"/>
    <w:rsid w:val="00BF7695"/>
    <w:rsid w:val="00CB7E5E"/>
    <w:rsid w:val="00ED58B5"/>
    <w:rsid w:val="00FE4361"/>
    <w:rsid w:val="00FF013F"/>
    <w:rsid w:val="09D012AF"/>
    <w:rsid w:val="1F492B1D"/>
    <w:rsid w:val="2F8A409D"/>
    <w:rsid w:val="36EA1F15"/>
    <w:rsid w:val="3F5F1786"/>
    <w:rsid w:val="41F40650"/>
    <w:rsid w:val="457025E5"/>
    <w:rsid w:val="475ED9DE"/>
    <w:rsid w:val="4E882329"/>
    <w:rsid w:val="63AE57C1"/>
    <w:rsid w:val="66072973"/>
    <w:rsid w:val="7D1A0916"/>
    <w:rsid w:val="7E705C8E"/>
    <w:rsid w:val="EC75B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line="360" w:lineRule="auto"/>
      <w:outlineLvl w:val="0"/>
    </w:pPr>
    <w:rPr>
      <w:rFonts w:eastAsia="黑体" w:cs="宋体"/>
      <w:b/>
      <w:bCs/>
      <w:kern w:val="44"/>
      <w:sz w:val="30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5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标题 1 字符"/>
    <w:basedOn w:val="10"/>
    <w:link w:val="2"/>
    <w:qFormat/>
    <w:uiPriority w:val="9"/>
    <w:rPr>
      <w:rFonts w:eastAsia="黑体" w:cs="宋体"/>
      <w:b/>
      <w:bCs/>
      <w:kern w:val="44"/>
      <w:sz w:val="30"/>
      <w:szCs w:val="4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文字 字符"/>
    <w:basedOn w:val="10"/>
    <w:link w:val="3"/>
    <w:semiHidden/>
    <w:qFormat/>
    <w:uiPriority w:val="99"/>
  </w:style>
  <w:style w:type="character" w:customStyle="1" w:styleId="15">
    <w:name w:val="批注主题 字符"/>
    <w:basedOn w:val="14"/>
    <w:link w:val="7"/>
    <w:semiHidden/>
    <w:qFormat/>
    <w:uiPriority w:val="99"/>
    <w:rPr>
      <w:b/>
      <w:bCs/>
    </w:rPr>
  </w:style>
  <w:style w:type="character" w:customStyle="1" w:styleId="16">
    <w:name w:val="批注框文本 字符"/>
    <w:basedOn w:val="10"/>
    <w:link w:val="4"/>
    <w:semiHidden/>
    <w:qFormat/>
    <w:uiPriority w:val="99"/>
    <w:rPr>
      <w:kern w:val="2"/>
      <w:sz w:val="18"/>
      <w:szCs w:val="18"/>
    </w:rPr>
  </w:style>
  <w:style w:type="character" w:customStyle="1" w:styleId="17">
    <w:name w:val="页眉 字符"/>
    <w:basedOn w:val="10"/>
    <w:link w:val="6"/>
    <w:qFormat/>
    <w:uiPriority w:val="99"/>
    <w:rPr>
      <w:kern w:val="2"/>
      <w:sz w:val="18"/>
      <w:szCs w:val="18"/>
    </w:rPr>
  </w:style>
  <w:style w:type="character" w:customStyle="1" w:styleId="18">
    <w:name w:val="页脚 字符"/>
    <w:basedOn w:val="10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1746</Words>
  <Characters>1805</Characters>
  <Lines>1</Lines>
  <Paragraphs>3</Paragraphs>
  <TotalTime>3</TotalTime>
  <ScaleCrop>false</ScaleCrop>
  <LinksUpToDate>false</LinksUpToDate>
  <CharactersWithSpaces>1812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2022-04-16T15:57:00Z</dcterms:created>
  <dc:creator>XIAO</dc:creator>
  <cp:lastModifiedBy>杨煜新</cp:lastModifiedBy>
  <cp:lastPrinted>2022-06-08T19:15:00Z</cp:lastPrinted>
  <dcterms:modified xsi:type="dcterms:W3CDTF">2024-12-05T05:45:25Z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B7EB3C26CE050A2EF89D4A671C495428_43</vt:lpwstr>
  </property>
</Properties>
</file>