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20E57">
      <w:pPr>
        <w:widowControl w:val="0"/>
        <w:jc w:val="center"/>
        <w:textAlignment w:val="auto"/>
        <w:rPr>
          <w:rFonts w:ascii="仿宋_GB2312" w:hAnsi="黑体" w:eastAsia="仿宋_GB2312"/>
          <w:b/>
          <w:bCs/>
          <w:sz w:val="32"/>
          <w:szCs w:val="40"/>
        </w:rPr>
      </w:pPr>
      <w:r>
        <w:rPr>
          <w:rFonts w:ascii="仿宋_GB2312" w:hAnsi="黑体" w:eastAsia="仿宋_GB2312"/>
          <w:b/>
          <w:bCs/>
          <w:sz w:val="32"/>
          <w:szCs w:val="40"/>
        </w:rPr>
        <w:t>6.</w:t>
      </w:r>
      <w:r>
        <w:rPr>
          <w:rFonts w:hint="eastAsia" w:ascii="仿宋_GB2312" w:hAnsi="黑体" w:eastAsia="仿宋_GB2312"/>
          <w:b/>
          <w:bCs/>
          <w:sz w:val="32"/>
          <w:szCs w:val="40"/>
        </w:rPr>
        <w:t>2</w:t>
      </w:r>
      <w:r>
        <w:rPr>
          <w:rFonts w:ascii="仿宋_GB2312" w:hAnsi="黑体" w:eastAsia="仿宋_GB2312"/>
          <w:b/>
          <w:bCs/>
          <w:sz w:val="32"/>
          <w:szCs w:val="40"/>
        </w:rPr>
        <w:t>.</w:t>
      </w:r>
      <w:r>
        <w:rPr>
          <w:rFonts w:hint="eastAsia" w:ascii="仿宋_GB2312" w:hAnsi="黑体" w:eastAsia="仿宋_GB2312"/>
          <w:b/>
          <w:bCs/>
          <w:sz w:val="32"/>
          <w:szCs w:val="40"/>
        </w:rPr>
        <w:t>2</w:t>
      </w:r>
      <w:r>
        <w:rPr>
          <w:rFonts w:ascii="仿宋_GB2312" w:hAnsi="黑体" w:eastAsia="仿宋_GB2312"/>
          <w:b/>
          <w:bCs/>
          <w:sz w:val="32"/>
          <w:szCs w:val="40"/>
        </w:rPr>
        <w:t>.</w:t>
      </w:r>
      <w:r>
        <w:rPr>
          <w:rFonts w:hint="eastAsia" w:ascii="仿宋_GB2312" w:hAnsi="黑体" w:eastAsia="仿宋_GB2312"/>
          <w:b/>
          <w:bCs/>
          <w:sz w:val="32"/>
          <w:szCs w:val="40"/>
        </w:rPr>
        <w:t>1 校内实训基地建设</w:t>
      </w:r>
    </w:p>
    <w:p w14:paraId="039908B9">
      <w:pPr>
        <w:widowControl w:val="0"/>
        <w:jc w:val="center"/>
        <w:textAlignment w:val="auto"/>
        <w:rPr>
          <w:rFonts w:hint="eastAsia" w:ascii="仿宋_GB2312" w:hAnsi="黑体" w:eastAsia="仿宋_GB2312"/>
          <w:b/>
          <w:bCs/>
          <w:sz w:val="28"/>
          <w:szCs w:val="36"/>
        </w:rPr>
      </w:pPr>
      <w:r>
        <w:rPr>
          <w:rFonts w:ascii="仿宋_GB2312" w:hAnsi="黑体" w:eastAsia="仿宋_GB2312"/>
          <w:b/>
          <w:bCs/>
          <w:sz w:val="28"/>
          <w:szCs w:val="36"/>
        </w:rPr>
        <w:t>6.</w:t>
      </w:r>
      <w:r>
        <w:rPr>
          <w:rFonts w:hint="eastAsia" w:ascii="仿宋_GB2312" w:hAnsi="黑体" w:eastAsia="仿宋_GB2312"/>
          <w:b/>
          <w:bCs/>
          <w:sz w:val="28"/>
          <w:szCs w:val="36"/>
        </w:rPr>
        <w:t>2</w:t>
      </w:r>
      <w:r>
        <w:rPr>
          <w:rFonts w:ascii="仿宋_GB2312" w:hAnsi="黑体" w:eastAsia="仿宋_GB2312"/>
          <w:b/>
          <w:bCs/>
          <w:sz w:val="28"/>
          <w:szCs w:val="36"/>
        </w:rPr>
        <w:t>.</w:t>
      </w:r>
      <w:r>
        <w:rPr>
          <w:rFonts w:hint="eastAsia" w:ascii="仿宋_GB2312" w:hAnsi="黑体" w:eastAsia="仿宋_GB2312"/>
          <w:b/>
          <w:bCs/>
          <w:sz w:val="28"/>
          <w:szCs w:val="36"/>
        </w:rPr>
        <w:t>2</w:t>
      </w:r>
      <w:r>
        <w:rPr>
          <w:rFonts w:ascii="仿宋_GB2312" w:hAnsi="黑体" w:eastAsia="仿宋_GB2312"/>
          <w:b/>
          <w:bCs/>
          <w:sz w:val="28"/>
          <w:szCs w:val="36"/>
        </w:rPr>
        <w:t>.</w:t>
      </w:r>
      <w:r>
        <w:rPr>
          <w:rFonts w:hint="eastAsia" w:ascii="仿宋_GB2312" w:hAnsi="黑体" w:eastAsia="仿宋_GB2312"/>
          <w:b/>
          <w:bCs/>
          <w:sz w:val="28"/>
          <w:szCs w:val="36"/>
        </w:rPr>
        <w:t>1</w:t>
      </w:r>
      <w:r>
        <w:rPr>
          <w:rFonts w:ascii="仿宋_GB2312" w:hAnsi="黑体" w:eastAsia="仿宋_GB2312"/>
          <w:b/>
          <w:bCs/>
          <w:sz w:val="28"/>
          <w:szCs w:val="36"/>
        </w:rPr>
        <w:t>.</w:t>
      </w:r>
      <w:r>
        <w:rPr>
          <w:rFonts w:hint="eastAsia" w:ascii="仿宋_GB2312" w:hAnsi="黑体" w:eastAsia="仿宋_GB2312"/>
          <w:b/>
          <w:bCs/>
          <w:sz w:val="28"/>
          <w:szCs w:val="36"/>
        </w:rPr>
        <w:t>9 计算机专业实训室改建与完善方案（建设计划）</w:t>
      </w:r>
    </w:p>
    <w:p w14:paraId="0EC62D49">
      <w:pPr>
        <w:widowControl w:val="0"/>
        <w:jc w:val="center"/>
        <w:textAlignment w:val="auto"/>
        <w:rPr>
          <w:rFonts w:hint="eastAsia" w:ascii="仿宋_GB2312" w:hAnsi="黑体" w:eastAsia="仿宋_GB2312"/>
          <w:b/>
          <w:bCs/>
          <w:sz w:val="28"/>
          <w:szCs w:val="36"/>
          <w:lang w:val="en-US" w:eastAsia="zh-CN"/>
        </w:rPr>
      </w:pPr>
      <w:r>
        <w:rPr>
          <w:rFonts w:hint="eastAsia" w:ascii="仿宋_GB2312" w:hAnsi="黑体" w:eastAsia="仿宋_GB2312"/>
          <w:b/>
          <w:bCs/>
          <w:sz w:val="28"/>
          <w:szCs w:val="36"/>
          <w:lang w:val="en-US" w:eastAsia="zh-CN"/>
        </w:rPr>
        <w:t>综述</w:t>
      </w:r>
    </w:p>
    <w:p w14:paraId="51F90C9D">
      <w:pPr>
        <w:widowControl w:val="0"/>
        <w:ind w:firstLine="560" w:firstLineChars="200"/>
        <w:jc w:val="left"/>
        <w:textAlignment w:val="auto"/>
        <w:rPr>
          <w:rFonts w:ascii="仿宋_GB2312" w:hAnsi="Calibri" w:eastAsia="仿宋_GB2312"/>
          <w:sz w:val="28"/>
          <w:szCs w:val="28"/>
        </w:rPr>
      </w:pPr>
      <w:r>
        <w:rPr>
          <w:rFonts w:hint="eastAsia" w:ascii="仿宋_GB2312" w:hAnsi="Calibri" w:eastAsia="仿宋_GB2312"/>
          <w:sz w:val="28"/>
          <w:szCs w:val="28"/>
        </w:rPr>
        <w:t>网络安全在现在的网络建设中尤为重要，我们目前还没有网络安全实验室，为了实现新一代网络安全实验环境的打造，打算将原有神州数码网络实验室改造为新一代网络安全实验室，并且沿用原有网络设备不变，只添加新的网络安全设备，实现网络搭建和网络安全公用的网络实验室。</w:t>
      </w:r>
    </w:p>
    <w:p w14:paraId="4E4ECAF5">
      <w:pPr>
        <w:widowControl w:val="0"/>
        <w:ind w:firstLine="560" w:firstLineChars="200"/>
        <w:jc w:val="left"/>
        <w:textAlignment w:val="auto"/>
        <w:rPr>
          <w:rFonts w:hint="eastAsia" w:ascii="仿宋_GB2312" w:hAnsi="Calibri" w:eastAsia="仿宋_GB2312"/>
          <w:sz w:val="28"/>
          <w:szCs w:val="28"/>
        </w:rPr>
      </w:pPr>
      <w:r>
        <w:rPr>
          <w:rFonts w:hint="eastAsia" w:ascii="仿宋_GB2312" w:hAnsi="Calibri" w:eastAsia="仿宋_GB2312"/>
          <w:sz w:val="28"/>
          <w:szCs w:val="28"/>
        </w:rPr>
        <w:t>项目建设的总目标是结合原有的神州数码网络实训室建设成一个既能满足教师实训教学，又能支撑校内应用型技术人才培养的网络搭建和网络安全公用的综合网络安全实训室，并建设一个可以容纳30人的小型会议室。</w:t>
      </w:r>
      <w:bookmarkStart w:id="0" w:name="_Toc523490227"/>
    </w:p>
    <w:p w14:paraId="0B70DE07">
      <w:pPr>
        <w:widowControl w:val="0"/>
        <w:ind w:firstLine="560" w:firstLineChars="200"/>
        <w:jc w:val="left"/>
        <w:textAlignment w:val="auto"/>
        <w:rPr>
          <w:rFonts w:hint="eastAsia" w:ascii="仿宋_GB2312" w:hAnsi="Calibri" w:eastAsia="仿宋_GB2312"/>
          <w:sz w:val="28"/>
          <w:szCs w:val="28"/>
        </w:rPr>
      </w:pPr>
    </w:p>
    <w:p w14:paraId="0E76B7D4">
      <w:pPr>
        <w:widowControl w:val="0"/>
        <w:ind w:firstLine="560" w:firstLineChars="200"/>
        <w:jc w:val="left"/>
        <w:textAlignment w:val="auto"/>
        <w:rPr>
          <w:rFonts w:hint="eastAsia" w:ascii="仿宋_GB2312" w:hAnsi="Calibri" w:eastAsia="仿宋_GB2312"/>
          <w:sz w:val="28"/>
          <w:szCs w:val="28"/>
        </w:rPr>
      </w:pPr>
    </w:p>
    <w:p w14:paraId="1D66E7A2">
      <w:pPr>
        <w:widowControl w:val="0"/>
        <w:ind w:firstLine="560" w:firstLineChars="200"/>
        <w:jc w:val="left"/>
        <w:textAlignment w:val="auto"/>
        <w:rPr>
          <w:rFonts w:hint="eastAsia" w:ascii="仿宋_GB2312" w:hAnsi="Calibri" w:eastAsia="仿宋_GB2312"/>
          <w:sz w:val="28"/>
          <w:szCs w:val="28"/>
        </w:rPr>
      </w:pPr>
    </w:p>
    <w:p w14:paraId="44A4B562">
      <w:pPr>
        <w:widowControl w:val="0"/>
        <w:ind w:firstLine="560" w:firstLineChars="200"/>
        <w:jc w:val="left"/>
        <w:textAlignment w:val="auto"/>
        <w:rPr>
          <w:rFonts w:hint="eastAsia" w:ascii="仿宋_GB2312" w:hAnsi="Calibri" w:eastAsia="仿宋_GB2312"/>
          <w:sz w:val="28"/>
          <w:szCs w:val="28"/>
        </w:rPr>
      </w:pPr>
    </w:p>
    <w:p w14:paraId="760B69A3">
      <w:pPr>
        <w:widowControl w:val="0"/>
        <w:ind w:firstLine="560" w:firstLineChars="200"/>
        <w:jc w:val="left"/>
        <w:textAlignment w:val="auto"/>
        <w:rPr>
          <w:rFonts w:hint="eastAsia" w:ascii="仿宋_GB2312" w:hAnsi="Calibri" w:eastAsia="仿宋_GB2312"/>
          <w:sz w:val="28"/>
          <w:szCs w:val="28"/>
        </w:rPr>
      </w:pPr>
    </w:p>
    <w:p w14:paraId="7B781C68">
      <w:pPr>
        <w:widowControl w:val="0"/>
        <w:ind w:firstLine="560" w:firstLineChars="200"/>
        <w:jc w:val="left"/>
        <w:textAlignment w:val="auto"/>
        <w:rPr>
          <w:rFonts w:hint="eastAsia" w:ascii="仿宋_GB2312" w:hAnsi="Calibri" w:eastAsia="仿宋_GB2312"/>
          <w:sz w:val="28"/>
          <w:szCs w:val="28"/>
        </w:rPr>
      </w:pPr>
    </w:p>
    <w:p w14:paraId="5354997A">
      <w:pPr>
        <w:widowControl w:val="0"/>
        <w:ind w:firstLine="560" w:firstLineChars="200"/>
        <w:jc w:val="left"/>
        <w:textAlignment w:val="auto"/>
        <w:rPr>
          <w:rFonts w:hint="eastAsia" w:ascii="仿宋_GB2312" w:hAnsi="Calibri" w:eastAsia="仿宋_GB2312"/>
          <w:sz w:val="28"/>
          <w:szCs w:val="28"/>
        </w:rPr>
      </w:pPr>
    </w:p>
    <w:p w14:paraId="6644B957">
      <w:pPr>
        <w:widowControl w:val="0"/>
        <w:ind w:firstLine="560" w:firstLineChars="200"/>
        <w:jc w:val="left"/>
        <w:textAlignment w:val="auto"/>
        <w:rPr>
          <w:rFonts w:hint="eastAsia" w:ascii="仿宋_GB2312" w:hAnsi="Calibri" w:eastAsia="仿宋_GB2312"/>
          <w:sz w:val="28"/>
          <w:szCs w:val="28"/>
        </w:rPr>
      </w:pPr>
    </w:p>
    <w:p w14:paraId="6CE5609A">
      <w:pPr>
        <w:widowControl w:val="0"/>
        <w:ind w:firstLine="560" w:firstLineChars="200"/>
        <w:jc w:val="left"/>
        <w:textAlignment w:val="auto"/>
        <w:rPr>
          <w:rFonts w:hint="eastAsia" w:ascii="仿宋_GB2312" w:hAnsi="Calibri" w:eastAsia="仿宋_GB2312"/>
          <w:sz w:val="28"/>
          <w:szCs w:val="28"/>
        </w:rPr>
      </w:pPr>
    </w:p>
    <w:p w14:paraId="493B835F">
      <w:pPr>
        <w:widowControl w:val="0"/>
        <w:ind w:firstLine="560" w:firstLineChars="200"/>
        <w:jc w:val="left"/>
        <w:textAlignment w:val="auto"/>
        <w:rPr>
          <w:rFonts w:hint="eastAsia" w:ascii="仿宋_GB2312" w:hAnsi="Calibri" w:eastAsia="仿宋_GB2312"/>
          <w:sz w:val="28"/>
          <w:szCs w:val="28"/>
        </w:rPr>
      </w:pPr>
    </w:p>
    <w:p w14:paraId="150F2153">
      <w:pPr>
        <w:widowControl w:val="0"/>
        <w:numPr>
          <w:ilvl w:val="0"/>
          <w:numId w:val="1"/>
        </w:numPr>
        <w:jc w:val="left"/>
        <w:textAlignment w:val="auto"/>
        <w:rPr>
          <w:rFonts w:ascii="仿宋_GB2312" w:hAnsi="Calibri" w:eastAsia="仿宋_GB2312"/>
          <w:b/>
          <w:bCs/>
          <w:sz w:val="32"/>
          <w:szCs w:val="32"/>
        </w:rPr>
      </w:pPr>
      <w:r>
        <w:rPr>
          <w:rFonts w:hint="eastAsia" w:ascii="仿宋_GB2312" w:hAnsi="Calibri" w:eastAsia="仿宋_GB2312"/>
          <w:b/>
          <w:bCs/>
          <w:sz w:val="32"/>
          <w:szCs w:val="32"/>
        </w:rPr>
        <w:t>网络安全实训室建设</w:t>
      </w:r>
      <w:bookmarkEnd w:id="0"/>
      <w:r>
        <w:rPr>
          <w:rFonts w:hint="eastAsia" w:ascii="仿宋_GB2312" w:hAnsi="Calibri" w:eastAsia="仿宋_GB2312"/>
          <w:b/>
          <w:bCs/>
          <w:sz w:val="32"/>
          <w:szCs w:val="32"/>
        </w:rPr>
        <w:t>内容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737"/>
        <w:gridCol w:w="3050"/>
        <w:gridCol w:w="930"/>
        <w:gridCol w:w="859"/>
      </w:tblGrid>
      <w:tr w14:paraId="22DB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shd w:val="clear" w:color="auto" w:fill="BEBEBE" w:themeFill="background1" w:themeFillShade="BF"/>
            <w:vAlign w:val="center"/>
          </w:tcPr>
          <w:p w14:paraId="1514F6BC">
            <w:pPr>
              <w:widowControl w:val="0"/>
              <w:jc w:val="center"/>
              <w:textAlignment w:val="auto"/>
              <w:rPr>
                <w:rFonts w:ascii="仿宋_GB2312" w:hAnsi="Calibri" w:eastAsia="仿宋_GB2312"/>
                <w:sz w:val="28"/>
                <w:szCs w:val="28"/>
              </w:rPr>
            </w:pPr>
            <w:r>
              <w:rPr>
                <w:rFonts w:hint="eastAsia" w:ascii="仿宋_GB2312" w:hAnsi="Calibri" w:eastAsia="仿宋_GB2312"/>
                <w:sz w:val="28"/>
                <w:szCs w:val="28"/>
              </w:rPr>
              <w:t>序号</w:t>
            </w:r>
          </w:p>
        </w:tc>
        <w:tc>
          <w:tcPr>
            <w:tcW w:w="2737" w:type="dxa"/>
            <w:shd w:val="clear" w:color="auto" w:fill="BEBEBE" w:themeFill="background1" w:themeFillShade="BF"/>
            <w:vAlign w:val="center"/>
          </w:tcPr>
          <w:p w14:paraId="6C5E4D94">
            <w:pPr>
              <w:widowControl w:val="0"/>
              <w:jc w:val="center"/>
              <w:textAlignment w:val="auto"/>
              <w:rPr>
                <w:rFonts w:ascii="仿宋_GB2312" w:hAnsi="Calibri" w:eastAsia="仿宋_GB2312"/>
                <w:sz w:val="28"/>
                <w:szCs w:val="28"/>
              </w:rPr>
            </w:pPr>
            <w:r>
              <w:rPr>
                <w:rFonts w:hint="eastAsia" w:ascii="仿宋_GB2312" w:hAnsi="Calibri" w:eastAsia="仿宋_GB2312"/>
                <w:sz w:val="28"/>
                <w:szCs w:val="28"/>
              </w:rPr>
              <w:t>设备名称</w:t>
            </w:r>
          </w:p>
        </w:tc>
        <w:tc>
          <w:tcPr>
            <w:tcW w:w="3050" w:type="dxa"/>
            <w:shd w:val="clear" w:color="auto" w:fill="BEBEBE" w:themeFill="background1" w:themeFillShade="BF"/>
            <w:vAlign w:val="center"/>
          </w:tcPr>
          <w:p w14:paraId="4E1E79F4">
            <w:pPr>
              <w:widowControl w:val="0"/>
              <w:jc w:val="center"/>
              <w:textAlignment w:val="auto"/>
              <w:rPr>
                <w:rFonts w:ascii="仿宋_GB2312" w:hAnsi="Calibri" w:eastAsia="仿宋_GB2312"/>
                <w:sz w:val="28"/>
                <w:szCs w:val="28"/>
              </w:rPr>
            </w:pPr>
            <w:r>
              <w:rPr>
                <w:rFonts w:hint="eastAsia" w:ascii="仿宋_GB2312" w:hAnsi="Calibri" w:eastAsia="仿宋_GB2312"/>
                <w:sz w:val="28"/>
                <w:szCs w:val="28"/>
              </w:rPr>
              <w:t>规格型号</w:t>
            </w:r>
          </w:p>
        </w:tc>
        <w:tc>
          <w:tcPr>
            <w:tcW w:w="930" w:type="dxa"/>
            <w:shd w:val="clear" w:color="auto" w:fill="BEBEBE" w:themeFill="background1" w:themeFillShade="BF"/>
            <w:vAlign w:val="center"/>
          </w:tcPr>
          <w:p w14:paraId="5D754170">
            <w:pPr>
              <w:widowControl w:val="0"/>
              <w:jc w:val="center"/>
              <w:textAlignment w:val="auto"/>
              <w:rPr>
                <w:rFonts w:ascii="仿宋_GB2312" w:hAnsi="Calibri" w:eastAsia="仿宋_GB2312"/>
                <w:sz w:val="28"/>
                <w:szCs w:val="28"/>
              </w:rPr>
            </w:pPr>
            <w:r>
              <w:rPr>
                <w:rFonts w:hint="eastAsia" w:ascii="仿宋_GB2312" w:hAnsi="Calibri" w:eastAsia="仿宋_GB2312"/>
                <w:sz w:val="28"/>
                <w:szCs w:val="28"/>
              </w:rPr>
              <w:t>单位</w:t>
            </w:r>
          </w:p>
        </w:tc>
        <w:tc>
          <w:tcPr>
            <w:tcW w:w="859" w:type="dxa"/>
            <w:shd w:val="clear" w:color="auto" w:fill="BEBEBE" w:themeFill="background1" w:themeFillShade="BF"/>
            <w:vAlign w:val="center"/>
          </w:tcPr>
          <w:p w14:paraId="1145EA97">
            <w:pPr>
              <w:widowControl w:val="0"/>
              <w:jc w:val="center"/>
              <w:textAlignment w:val="auto"/>
              <w:rPr>
                <w:rFonts w:ascii="仿宋_GB2312" w:hAnsi="Calibri" w:eastAsia="仿宋_GB2312"/>
                <w:sz w:val="28"/>
                <w:szCs w:val="28"/>
              </w:rPr>
            </w:pPr>
            <w:r>
              <w:rPr>
                <w:rFonts w:hint="eastAsia" w:ascii="仿宋_GB2312" w:hAnsi="Calibri" w:eastAsia="仿宋_GB2312"/>
                <w:sz w:val="28"/>
                <w:szCs w:val="28"/>
              </w:rPr>
              <w:t>数量</w:t>
            </w:r>
          </w:p>
        </w:tc>
      </w:tr>
      <w:tr w14:paraId="7D48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3" w:type="dxa"/>
            <w:vAlign w:val="center"/>
          </w:tcPr>
          <w:p w14:paraId="42B8A6E3">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w:t>
            </w:r>
          </w:p>
        </w:tc>
        <w:tc>
          <w:tcPr>
            <w:tcW w:w="2737" w:type="dxa"/>
            <w:vAlign w:val="center"/>
          </w:tcPr>
          <w:p w14:paraId="76B05646">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多核出口网关</w:t>
            </w:r>
          </w:p>
        </w:tc>
        <w:tc>
          <w:tcPr>
            <w:tcW w:w="3050" w:type="dxa"/>
            <w:vAlign w:val="center"/>
          </w:tcPr>
          <w:p w14:paraId="1AE7EE63">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DCME-320</w:t>
            </w:r>
          </w:p>
        </w:tc>
        <w:tc>
          <w:tcPr>
            <w:tcW w:w="930" w:type="dxa"/>
            <w:vAlign w:val="center"/>
          </w:tcPr>
          <w:p w14:paraId="4CF92E95">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w:t>
            </w:r>
          </w:p>
        </w:tc>
        <w:tc>
          <w:tcPr>
            <w:tcW w:w="859" w:type="dxa"/>
            <w:vAlign w:val="center"/>
          </w:tcPr>
          <w:p w14:paraId="56905338">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台</w:t>
            </w:r>
          </w:p>
        </w:tc>
      </w:tr>
      <w:tr w14:paraId="52BD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3" w:type="dxa"/>
            <w:vAlign w:val="center"/>
          </w:tcPr>
          <w:p w14:paraId="42923F7C">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2</w:t>
            </w:r>
          </w:p>
        </w:tc>
        <w:tc>
          <w:tcPr>
            <w:tcW w:w="2737" w:type="dxa"/>
            <w:vAlign w:val="center"/>
          </w:tcPr>
          <w:p w14:paraId="049440E7">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路由交换实训平台</w:t>
            </w:r>
          </w:p>
        </w:tc>
        <w:tc>
          <w:tcPr>
            <w:tcW w:w="3050" w:type="dxa"/>
            <w:vAlign w:val="center"/>
          </w:tcPr>
          <w:p w14:paraId="26920DBD">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CS6200-28F-EI-R</w:t>
            </w:r>
          </w:p>
        </w:tc>
        <w:tc>
          <w:tcPr>
            <w:tcW w:w="930" w:type="dxa"/>
            <w:vAlign w:val="center"/>
          </w:tcPr>
          <w:p w14:paraId="3DEEEB7D">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2</w:t>
            </w:r>
          </w:p>
        </w:tc>
        <w:tc>
          <w:tcPr>
            <w:tcW w:w="859" w:type="dxa"/>
            <w:vAlign w:val="center"/>
          </w:tcPr>
          <w:p w14:paraId="6703F5EE">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台</w:t>
            </w:r>
          </w:p>
        </w:tc>
      </w:tr>
      <w:tr w14:paraId="03FA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3" w:type="dxa"/>
            <w:vAlign w:val="center"/>
          </w:tcPr>
          <w:p w14:paraId="5E78EDE5">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3</w:t>
            </w:r>
          </w:p>
        </w:tc>
        <w:tc>
          <w:tcPr>
            <w:tcW w:w="2737" w:type="dxa"/>
            <w:vAlign w:val="center"/>
          </w:tcPr>
          <w:p w14:paraId="779DED25">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网络安全数据交换实训设备</w:t>
            </w:r>
          </w:p>
        </w:tc>
        <w:tc>
          <w:tcPr>
            <w:tcW w:w="3050" w:type="dxa"/>
            <w:vAlign w:val="center"/>
          </w:tcPr>
          <w:p w14:paraId="5CBB1ACC">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S5750E-28X-SI</w:t>
            </w:r>
          </w:p>
        </w:tc>
        <w:tc>
          <w:tcPr>
            <w:tcW w:w="930" w:type="dxa"/>
            <w:vAlign w:val="center"/>
          </w:tcPr>
          <w:p w14:paraId="10CFA60E">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w:t>
            </w:r>
          </w:p>
        </w:tc>
        <w:tc>
          <w:tcPr>
            <w:tcW w:w="859" w:type="dxa"/>
            <w:vAlign w:val="center"/>
          </w:tcPr>
          <w:p w14:paraId="615EDC75">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台</w:t>
            </w:r>
          </w:p>
        </w:tc>
      </w:tr>
      <w:tr w14:paraId="2869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3" w:type="dxa"/>
            <w:vAlign w:val="center"/>
          </w:tcPr>
          <w:p w14:paraId="723A5601">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4</w:t>
            </w:r>
          </w:p>
        </w:tc>
        <w:tc>
          <w:tcPr>
            <w:tcW w:w="2737" w:type="dxa"/>
            <w:vAlign w:val="center"/>
          </w:tcPr>
          <w:p w14:paraId="30E59FBE">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二层数据交换实训平台</w:t>
            </w:r>
          </w:p>
        </w:tc>
        <w:tc>
          <w:tcPr>
            <w:tcW w:w="3050" w:type="dxa"/>
            <w:vAlign w:val="center"/>
          </w:tcPr>
          <w:p w14:paraId="1065E9DB">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S4600-28P-SI</w:t>
            </w:r>
          </w:p>
        </w:tc>
        <w:tc>
          <w:tcPr>
            <w:tcW w:w="930" w:type="dxa"/>
            <w:vAlign w:val="center"/>
          </w:tcPr>
          <w:p w14:paraId="2443B41C">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2</w:t>
            </w:r>
          </w:p>
        </w:tc>
        <w:tc>
          <w:tcPr>
            <w:tcW w:w="859" w:type="dxa"/>
            <w:vAlign w:val="center"/>
          </w:tcPr>
          <w:p w14:paraId="5AAFC1E0">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台</w:t>
            </w:r>
          </w:p>
        </w:tc>
      </w:tr>
      <w:tr w14:paraId="329E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3" w:type="dxa"/>
            <w:vAlign w:val="center"/>
          </w:tcPr>
          <w:p w14:paraId="785E1261">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5</w:t>
            </w:r>
          </w:p>
        </w:tc>
        <w:tc>
          <w:tcPr>
            <w:tcW w:w="2737" w:type="dxa"/>
            <w:vAlign w:val="center"/>
          </w:tcPr>
          <w:p w14:paraId="0960C05D">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无线AP</w:t>
            </w:r>
          </w:p>
        </w:tc>
        <w:tc>
          <w:tcPr>
            <w:tcW w:w="3050" w:type="dxa"/>
            <w:vAlign w:val="center"/>
          </w:tcPr>
          <w:p w14:paraId="7A36C3A3">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WL8200-W2</w:t>
            </w:r>
          </w:p>
        </w:tc>
        <w:tc>
          <w:tcPr>
            <w:tcW w:w="930" w:type="dxa"/>
            <w:vAlign w:val="center"/>
          </w:tcPr>
          <w:p w14:paraId="4CCB4117">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10</w:t>
            </w:r>
          </w:p>
        </w:tc>
        <w:tc>
          <w:tcPr>
            <w:tcW w:w="859" w:type="dxa"/>
            <w:vAlign w:val="center"/>
          </w:tcPr>
          <w:p w14:paraId="2116822A">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台</w:t>
            </w:r>
          </w:p>
        </w:tc>
      </w:tr>
      <w:tr w14:paraId="49E0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3" w:type="dxa"/>
            <w:vAlign w:val="center"/>
          </w:tcPr>
          <w:p w14:paraId="26626941">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6</w:t>
            </w:r>
          </w:p>
        </w:tc>
        <w:tc>
          <w:tcPr>
            <w:tcW w:w="2737" w:type="dxa"/>
            <w:vAlign w:val="center"/>
          </w:tcPr>
          <w:p w14:paraId="17968113">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机柜</w:t>
            </w:r>
          </w:p>
        </w:tc>
        <w:tc>
          <w:tcPr>
            <w:tcW w:w="3050" w:type="dxa"/>
            <w:vAlign w:val="center"/>
          </w:tcPr>
          <w:p w14:paraId="6AEA5408">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1.5米开放式实训室机柜</w:t>
            </w:r>
          </w:p>
        </w:tc>
        <w:tc>
          <w:tcPr>
            <w:tcW w:w="930" w:type="dxa"/>
            <w:vAlign w:val="center"/>
          </w:tcPr>
          <w:p w14:paraId="1DBF8395">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10</w:t>
            </w:r>
          </w:p>
        </w:tc>
        <w:tc>
          <w:tcPr>
            <w:tcW w:w="859" w:type="dxa"/>
            <w:vAlign w:val="center"/>
          </w:tcPr>
          <w:p w14:paraId="49A333AB">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组</w:t>
            </w:r>
          </w:p>
        </w:tc>
      </w:tr>
      <w:tr w14:paraId="2D0B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3" w:type="dxa"/>
            <w:vAlign w:val="center"/>
          </w:tcPr>
          <w:p w14:paraId="750C4DA9">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7</w:t>
            </w:r>
          </w:p>
        </w:tc>
        <w:tc>
          <w:tcPr>
            <w:tcW w:w="2737" w:type="dxa"/>
            <w:vAlign w:val="center"/>
          </w:tcPr>
          <w:p w14:paraId="3E70FCF6">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桌椅</w:t>
            </w:r>
          </w:p>
        </w:tc>
        <w:tc>
          <w:tcPr>
            <w:tcW w:w="3050" w:type="dxa"/>
            <w:vAlign w:val="center"/>
          </w:tcPr>
          <w:p w14:paraId="3683FF29">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1450*550*750（钢木结构）</w:t>
            </w:r>
          </w:p>
        </w:tc>
        <w:tc>
          <w:tcPr>
            <w:tcW w:w="930" w:type="dxa"/>
            <w:vAlign w:val="center"/>
          </w:tcPr>
          <w:p w14:paraId="0C92F212">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30</w:t>
            </w:r>
          </w:p>
        </w:tc>
        <w:tc>
          <w:tcPr>
            <w:tcW w:w="859" w:type="dxa"/>
            <w:vAlign w:val="center"/>
          </w:tcPr>
          <w:p w14:paraId="0C48FB8E">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套</w:t>
            </w:r>
          </w:p>
        </w:tc>
      </w:tr>
      <w:tr w14:paraId="5DD3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3" w:type="dxa"/>
            <w:vAlign w:val="center"/>
          </w:tcPr>
          <w:p w14:paraId="2D73AF35">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8</w:t>
            </w:r>
          </w:p>
        </w:tc>
        <w:tc>
          <w:tcPr>
            <w:tcW w:w="2737" w:type="dxa"/>
            <w:vAlign w:val="center"/>
          </w:tcPr>
          <w:p w14:paraId="048D8B34">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强电线路系统</w:t>
            </w:r>
          </w:p>
        </w:tc>
        <w:tc>
          <w:tcPr>
            <w:tcW w:w="3050" w:type="dxa"/>
            <w:vAlign w:val="center"/>
          </w:tcPr>
          <w:p w14:paraId="3BCD0D88">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定制</w:t>
            </w:r>
          </w:p>
        </w:tc>
        <w:tc>
          <w:tcPr>
            <w:tcW w:w="930" w:type="dxa"/>
            <w:vAlign w:val="center"/>
          </w:tcPr>
          <w:p w14:paraId="21CA003F">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w:t>
            </w:r>
          </w:p>
        </w:tc>
        <w:tc>
          <w:tcPr>
            <w:tcW w:w="859" w:type="dxa"/>
            <w:vAlign w:val="center"/>
          </w:tcPr>
          <w:p w14:paraId="1DB67DFE">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项</w:t>
            </w:r>
          </w:p>
        </w:tc>
      </w:tr>
      <w:tr w14:paraId="3F2D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3" w:type="dxa"/>
            <w:vAlign w:val="center"/>
          </w:tcPr>
          <w:p w14:paraId="4825E26C">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9</w:t>
            </w:r>
          </w:p>
        </w:tc>
        <w:tc>
          <w:tcPr>
            <w:tcW w:w="2737" w:type="dxa"/>
            <w:vAlign w:val="center"/>
          </w:tcPr>
          <w:p w14:paraId="2892D3D4">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网络综合布线</w:t>
            </w:r>
          </w:p>
        </w:tc>
        <w:tc>
          <w:tcPr>
            <w:tcW w:w="3050" w:type="dxa"/>
            <w:vAlign w:val="center"/>
          </w:tcPr>
          <w:p w14:paraId="79D658D0">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定制</w:t>
            </w:r>
          </w:p>
        </w:tc>
        <w:tc>
          <w:tcPr>
            <w:tcW w:w="930" w:type="dxa"/>
            <w:vAlign w:val="center"/>
          </w:tcPr>
          <w:p w14:paraId="2DEB9142">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w:t>
            </w:r>
          </w:p>
        </w:tc>
        <w:tc>
          <w:tcPr>
            <w:tcW w:w="859" w:type="dxa"/>
            <w:vAlign w:val="center"/>
          </w:tcPr>
          <w:p w14:paraId="134B28F7">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项</w:t>
            </w:r>
          </w:p>
        </w:tc>
      </w:tr>
      <w:tr w14:paraId="59CC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3" w:type="dxa"/>
            <w:vAlign w:val="center"/>
          </w:tcPr>
          <w:p w14:paraId="040F3938">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10</w:t>
            </w:r>
          </w:p>
        </w:tc>
        <w:tc>
          <w:tcPr>
            <w:tcW w:w="2737" w:type="dxa"/>
            <w:vAlign w:val="center"/>
          </w:tcPr>
          <w:p w14:paraId="76D48D89">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实验室集成</w:t>
            </w:r>
          </w:p>
        </w:tc>
        <w:tc>
          <w:tcPr>
            <w:tcW w:w="3050" w:type="dxa"/>
            <w:vAlign w:val="center"/>
          </w:tcPr>
          <w:p w14:paraId="5CA8E08A">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定制</w:t>
            </w:r>
          </w:p>
        </w:tc>
        <w:tc>
          <w:tcPr>
            <w:tcW w:w="930" w:type="dxa"/>
            <w:vAlign w:val="center"/>
          </w:tcPr>
          <w:p w14:paraId="1B56E7FC">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w:t>
            </w:r>
          </w:p>
        </w:tc>
        <w:tc>
          <w:tcPr>
            <w:tcW w:w="859" w:type="dxa"/>
            <w:vAlign w:val="center"/>
          </w:tcPr>
          <w:p w14:paraId="64892CDE">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项</w:t>
            </w:r>
          </w:p>
        </w:tc>
      </w:tr>
      <w:tr w14:paraId="034A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3" w:type="dxa"/>
            <w:vAlign w:val="center"/>
          </w:tcPr>
          <w:p w14:paraId="2EB0C5B5">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11</w:t>
            </w:r>
          </w:p>
        </w:tc>
        <w:tc>
          <w:tcPr>
            <w:tcW w:w="2737" w:type="dxa"/>
            <w:vAlign w:val="center"/>
          </w:tcPr>
          <w:p w14:paraId="6D271D4E">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展示柜</w:t>
            </w:r>
          </w:p>
        </w:tc>
        <w:tc>
          <w:tcPr>
            <w:tcW w:w="3050" w:type="dxa"/>
            <w:vAlign w:val="center"/>
          </w:tcPr>
          <w:p w14:paraId="4A5BB3DA">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展示柜综合定做</w:t>
            </w:r>
          </w:p>
        </w:tc>
        <w:tc>
          <w:tcPr>
            <w:tcW w:w="930" w:type="dxa"/>
            <w:vAlign w:val="center"/>
          </w:tcPr>
          <w:p w14:paraId="1945CC6D">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w:t>
            </w:r>
          </w:p>
        </w:tc>
        <w:tc>
          <w:tcPr>
            <w:tcW w:w="859" w:type="dxa"/>
            <w:vAlign w:val="center"/>
          </w:tcPr>
          <w:p w14:paraId="42198972">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套</w:t>
            </w:r>
          </w:p>
        </w:tc>
      </w:tr>
      <w:tr w14:paraId="7F42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3" w:type="dxa"/>
            <w:vAlign w:val="center"/>
          </w:tcPr>
          <w:p w14:paraId="427484D2">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12</w:t>
            </w:r>
          </w:p>
        </w:tc>
        <w:tc>
          <w:tcPr>
            <w:tcW w:w="2737" w:type="dxa"/>
            <w:vAlign w:val="center"/>
          </w:tcPr>
          <w:p w14:paraId="5C7DF2D1">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工作室桌椅</w:t>
            </w:r>
          </w:p>
        </w:tc>
        <w:tc>
          <w:tcPr>
            <w:tcW w:w="3050" w:type="dxa"/>
            <w:vAlign w:val="center"/>
          </w:tcPr>
          <w:p w14:paraId="3C9377CC">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定制桌椅</w:t>
            </w:r>
          </w:p>
        </w:tc>
        <w:tc>
          <w:tcPr>
            <w:tcW w:w="930" w:type="dxa"/>
            <w:vAlign w:val="center"/>
          </w:tcPr>
          <w:p w14:paraId="06BC001E">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w:t>
            </w:r>
          </w:p>
        </w:tc>
        <w:tc>
          <w:tcPr>
            <w:tcW w:w="859" w:type="dxa"/>
            <w:vAlign w:val="center"/>
          </w:tcPr>
          <w:p w14:paraId="4273EDCC">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套</w:t>
            </w:r>
          </w:p>
        </w:tc>
      </w:tr>
      <w:tr w14:paraId="548D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3" w:type="dxa"/>
            <w:vAlign w:val="center"/>
          </w:tcPr>
          <w:p w14:paraId="4C50127F">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13</w:t>
            </w:r>
          </w:p>
        </w:tc>
        <w:tc>
          <w:tcPr>
            <w:tcW w:w="2737" w:type="dxa"/>
            <w:vAlign w:val="center"/>
          </w:tcPr>
          <w:p w14:paraId="48DE5DE0">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音响</w:t>
            </w:r>
          </w:p>
        </w:tc>
        <w:tc>
          <w:tcPr>
            <w:tcW w:w="3050" w:type="dxa"/>
            <w:vAlign w:val="center"/>
          </w:tcPr>
          <w:p w14:paraId="51E1A2F9">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无线音响</w:t>
            </w:r>
          </w:p>
        </w:tc>
        <w:tc>
          <w:tcPr>
            <w:tcW w:w="930" w:type="dxa"/>
            <w:vAlign w:val="center"/>
          </w:tcPr>
          <w:p w14:paraId="50B21FBF">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w:t>
            </w:r>
          </w:p>
        </w:tc>
        <w:tc>
          <w:tcPr>
            <w:tcW w:w="859" w:type="dxa"/>
            <w:vAlign w:val="center"/>
          </w:tcPr>
          <w:p w14:paraId="7F9BE37D">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套</w:t>
            </w:r>
          </w:p>
        </w:tc>
      </w:tr>
      <w:tr w14:paraId="6B0E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3" w:type="dxa"/>
            <w:vAlign w:val="center"/>
          </w:tcPr>
          <w:p w14:paraId="70AAF20A">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14</w:t>
            </w:r>
          </w:p>
        </w:tc>
        <w:tc>
          <w:tcPr>
            <w:tcW w:w="2737" w:type="dxa"/>
            <w:vAlign w:val="center"/>
          </w:tcPr>
          <w:p w14:paraId="3AB1E22B">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实训室智能门改造</w:t>
            </w:r>
          </w:p>
        </w:tc>
        <w:tc>
          <w:tcPr>
            <w:tcW w:w="3050" w:type="dxa"/>
            <w:vAlign w:val="center"/>
          </w:tcPr>
          <w:p w14:paraId="53B75E6E">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双开地弹簧门，人脸识别和指纹锁头开门</w:t>
            </w:r>
          </w:p>
        </w:tc>
        <w:tc>
          <w:tcPr>
            <w:tcW w:w="930" w:type="dxa"/>
            <w:vAlign w:val="center"/>
          </w:tcPr>
          <w:p w14:paraId="189616B3">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14</w:t>
            </w:r>
          </w:p>
        </w:tc>
        <w:tc>
          <w:tcPr>
            <w:tcW w:w="859" w:type="dxa"/>
            <w:vAlign w:val="center"/>
          </w:tcPr>
          <w:p w14:paraId="53428A56">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套</w:t>
            </w:r>
          </w:p>
        </w:tc>
      </w:tr>
      <w:tr w14:paraId="7494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3" w:type="dxa"/>
            <w:vAlign w:val="center"/>
          </w:tcPr>
          <w:p w14:paraId="663AABBA">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15</w:t>
            </w:r>
          </w:p>
        </w:tc>
        <w:tc>
          <w:tcPr>
            <w:tcW w:w="2737" w:type="dxa"/>
            <w:vAlign w:val="center"/>
          </w:tcPr>
          <w:p w14:paraId="28FA5890">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强电改造</w:t>
            </w:r>
          </w:p>
        </w:tc>
        <w:tc>
          <w:tcPr>
            <w:tcW w:w="3050" w:type="dxa"/>
            <w:vAlign w:val="center"/>
          </w:tcPr>
          <w:p w14:paraId="5CABCC5F">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改造强电箱</w:t>
            </w:r>
          </w:p>
        </w:tc>
        <w:tc>
          <w:tcPr>
            <w:tcW w:w="930" w:type="dxa"/>
            <w:vAlign w:val="center"/>
          </w:tcPr>
          <w:p w14:paraId="062B6A29">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14</w:t>
            </w:r>
          </w:p>
        </w:tc>
        <w:tc>
          <w:tcPr>
            <w:tcW w:w="859" w:type="dxa"/>
            <w:vAlign w:val="center"/>
          </w:tcPr>
          <w:p w14:paraId="19F7F4DA">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套</w:t>
            </w:r>
          </w:p>
        </w:tc>
      </w:tr>
      <w:tr w14:paraId="2732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3" w:type="dxa"/>
            <w:vAlign w:val="center"/>
          </w:tcPr>
          <w:p w14:paraId="0ACC4730">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16</w:t>
            </w:r>
          </w:p>
        </w:tc>
        <w:tc>
          <w:tcPr>
            <w:tcW w:w="2737" w:type="dxa"/>
            <w:vAlign w:val="center"/>
          </w:tcPr>
          <w:p w14:paraId="546D8FB7">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全自动人脸识别门锁</w:t>
            </w:r>
          </w:p>
        </w:tc>
        <w:tc>
          <w:tcPr>
            <w:tcW w:w="3050" w:type="dxa"/>
            <w:vAlign w:val="center"/>
          </w:tcPr>
          <w:p w14:paraId="2F48FF0E">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支持人脸识别、指纹解锁、密码解锁、WiFi远程解锁等</w:t>
            </w:r>
          </w:p>
        </w:tc>
        <w:tc>
          <w:tcPr>
            <w:tcW w:w="930" w:type="dxa"/>
            <w:vAlign w:val="center"/>
          </w:tcPr>
          <w:p w14:paraId="06A3ECE9">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14</w:t>
            </w:r>
          </w:p>
        </w:tc>
        <w:tc>
          <w:tcPr>
            <w:tcW w:w="859" w:type="dxa"/>
            <w:vAlign w:val="center"/>
          </w:tcPr>
          <w:p w14:paraId="25BEA076">
            <w:pPr>
              <w:widowControl w:val="0"/>
              <w:jc w:val="center"/>
              <w:textAlignment w:val="auto"/>
              <w:rPr>
                <w:rFonts w:ascii="仿宋_GB2312" w:hAnsi="黑体" w:eastAsia="仿宋_GB2312"/>
                <w:sz w:val="24"/>
                <w:szCs w:val="32"/>
              </w:rPr>
            </w:pPr>
            <w:r>
              <w:rPr>
                <w:rFonts w:hint="eastAsia" w:ascii="仿宋_GB2312" w:hAnsi="黑体" w:eastAsia="仿宋_GB2312"/>
                <w:sz w:val="24"/>
                <w:szCs w:val="32"/>
              </w:rPr>
              <w:t>套</w:t>
            </w:r>
          </w:p>
        </w:tc>
      </w:tr>
    </w:tbl>
    <w:p w14:paraId="273683D9">
      <w:pPr>
        <w:widowControl w:val="0"/>
        <w:adjustRightInd w:val="0"/>
        <w:snapToGrid w:val="0"/>
        <w:spacing w:line="360" w:lineRule="auto"/>
        <w:jc w:val="left"/>
        <w:textAlignment w:val="auto"/>
        <w:rPr>
          <w:rFonts w:ascii="宋体" w:hAnsi="宋体"/>
          <w:b/>
          <w:bCs/>
          <w:kern w:val="0"/>
          <w:sz w:val="24"/>
          <w:szCs w:val="24"/>
        </w:rPr>
      </w:pPr>
    </w:p>
    <w:p w14:paraId="66615D87">
      <w:pPr>
        <w:widowControl w:val="0"/>
        <w:numPr>
          <w:ilvl w:val="0"/>
          <w:numId w:val="1"/>
        </w:numPr>
        <w:jc w:val="left"/>
        <w:textAlignment w:val="auto"/>
        <w:rPr>
          <w:rFonts w:hint="eastAsia" w:ascii="仿宋_GB2312" w:hAnsi="Calibri" w:eastAsia="仿宋_GB2312"/>
          <w:b/>
          <w:bCs/>
          <w:sz w:val="32"/>
          <w:szCs w:val="32"/>
        </w:rPr>
      </w:pPr>
      <w:r>
        <w:rPr>
          <w:rFonts w:hint="eastAsia" w:ascii="仿宋_GB2312" w:hAnsi="Calibri" w:eastAsia="仿宋_GB2312"/>
          <w:b/>
          <w:bCs/>
          <w:sz w:val="32"/>
          <w:szCs w:val="32"/>
        </w:rPr>
        <w:t>建设的保障措施</w:t>
      </w:r>
    </w:p>
    <w:p w14:paraId="0F8DBC03">
      <w:pPr>
        <w:widowControl w:val="0"/>
        <w:ind w:left="0" w:leftChars="0" w:firstLine="422" w:firstLineChars="150"/>
        <w:jc w:val="left"/>
        <w:textAlignment w:val="auto"/>
        <w:rPr>
          <w:rFonts w:ascii="仿宋_GB2312" w:hAnsi="Calibri" w:eastAsia="仿宋_GB2312"/>
          <w:b/>
          <w:bCs/>
          <w:sz w:val="28"/>
          <w:szCs w:val="28"/>
        </w:rPr>
      </w:pPr>
      <w:bookmarkStart w:id="1" w:name="_Toc523490036"/>
      <w:bookmarkStart w:id="2" w:name="_Toc523489773"/>
      <w:bookmarkStart w:id="3" w:name="_Toc523490234"/>
      <w:r>
        <w:rPr>
          <w:rFonts w:hint="eastAsia" w:ascii="仿宋_GB2312" w:hAnsi="Calibri" w:eastAsia="仿宋_GB2312"/>
          <w:b/>
          <w:bCs/>
          <w:sz w:val="28"/>
          <w:szCs w:val="28"/>
        </w:rPr>
        <w:t>2.1建设指导小组</w:t>
      </w:r>
      <w:bookmarkEnd w:id="1"/>
      <w:bookmarkEnd w:id="2"/>
      <w:bookmarkEnd w:id="3"/>
    </w:p>
    <w:p w14:paraId="2E758DC7">
      <w:pPr>
        <w:widowControl w:val="0"/>
        <w:ind w:firstLine="420"/>
        <w:jc w:val="left"/>
        <w:textAlignment w:val="auto"/>
        <w:rPr>
          <w:rFonts w:ascii="仿宋_GB2312" w:hAnsi="Calibri" w:eastAsia="仿宋_GB2312"/>
          <w:sz w:val="28"/>
          <w:szCs w:val="28"/>
        </w:rPr>
      </w:pPr>
      <w:r>
        <w:rPr>
          <w:rFonts w:hint="eastAsia" w:ascii="仿宋_GB2312" w:hAnsi="Calibri" w:eastAsia="仿宋_GB2312"/>
          <w:sz w:val="28"/>
          <w:szCs w:val="28"/>
        </w:rPr>
        <w:t>项目主持单位佛山华材职业技术学校负责牵头组建开发团队，成立实训场室建设指导小组。</w:t>
      </w:r>
      <w:bookmarkStart w:id="14" w:name="_GoBack"/>
      <w:bookmarkEnd w:id="14"/>
    </w:p>
    <w:p w14:paraId="51ABA5CA">
      <w:pPr>
        <w:widowControl w:val="0"/>
        <w:ind w:firstLine="420"/>
        <w:jc w:val="left"/>
        <w:textAlignment w:val="auto"/>
        <w:rPr>
          <w:rFonts w:ascii="仿宋_GB2312" w:hAnsi="Calibri" w:eastAsia="仿宋_GB2312"/>
          <w:sz w:val="28"/>
          <w:szCs w:val="28"/>
        </w:rPr>
      </w:pPr>
      <w:r>
        <w:rPr>
          <w:rFonts w:hint="eastAsia" w:ascii="仿宋_GB2312" w:hAnsi="Calibri" w:eastAsia="仿宋_GB2312"/>
          <w:sz w:val="28"/>
          <w:szCs w:val="28"/>
        </w:rPr>
        <w:t>项目建设指导小组，负责实训场室建设的宏观指导、统筹规划和统一协调工作，对实训场室项目建设进行全面指导及质量监控。指导小组负责项目建设全过程的监督检查，并严格组织落实，加强监督，健全资源筛选机制。加强对各类教育资源内容的审核管理，从思想性、科学性、教育性、综合性、适用性和安全性等几个方面严密把关，不断提高资源质量，确保项目进度严格执行建设方案，资金的管理等，落实资源建设和推广应用工作。负责标准制定、方案论证、质量把关、业务咨询与指导。负责聘请专家顾问进行阶段验收，对方案执行情况和项目的实际效果进行定期的绩效评估与考核，提出评估意见和改进建议。</w:t>
      </w:r>
    </w:p>
    <w:p w14:paraId="288D4A70">
      <w:pPr>
        <w:widowControl w:val="0"/>
        <w:ind w:left="0" w:leftChars="0" w:firstLine="422" w:firstLineChars="150"/>
        <w:jc w:val="left"/>
        <w:textAlignment w:val="auto"/>
        <w:rPr>
          <w:rFonts w:hint="eastAsia" w:ascii="仿宋_GB2312" w:hAnsi="Calibri" w:eastAsia="仿宋_GB2312"/>
          <w:b/>
          <w:bCs/>
          <w:sz w:val="28"/>
          <w:szCs w:val="28"/>
        </w:rPr>
      </w:pPr>
      <w:bookmarkStart w:id="4" w:name="_Toc303808358"/>
      <w:bookmarkStart w:id="5" w:name="_Toc290470476"/>
      <w:bookmarkStart w:id="6" w:name="_Toc523489774"/>
      <w:bookmarkStart w:id="7" w:name="_Toc523490037"/>
      <w:bookmarkStart w:id="8" w:name="_Toc327434621"/>
      <w:bookmarkStart w:id="9" w:name="_Toc523490235"/>
      <w:bookmarkStart w:id="10" w:name="_Toc465440930"/>
      <w:bookmarkStart w:id="11" w:name="_Toc8816"/>
      <w:bookmarkStart w:id="12" w:name="_Toc316759088"/>
      <w:r>
        <w:rPr>
          <w:rFonts w:hint="eastAsia" w:ascii="仿宋_GB2312" w:hAnsi="Calibri" w:eastAsia="仿宋_GB2312"/>
          <w:b/>
          <w:bCs/>
          <w:sz w:val="28"/>
          <w:szCs w:val="28"/>
        </w:rPr>
        <w:t>2.2建设项目</w:t>
      </w:r>
      <w:bookmarkEnd w:id="4"/>
      <w:bookmarkEnd w:id="5"/>
      <w:bookmarkEnd w:id="6"/>
      <w:bookmarkEnd w:id="7"/>
      <w:bookmarkEnd w:id="8"/>
      <w:bookmarkEnd w:id="9"/>
      <w:bookmarkEnd w:id="10"/>
      <w:bookmarkEnd w:id="11"/>
      <w:bookmarkEnd w:id="12"/>
      <w:r>
        <w:rPr>
          <w:rFonts w:hint="eastAsia" w:ascii="仿宋_GB2312" w:hAnsi="Calibri" w:eastAsia="仿宋_GB2312"/>
          <w:b/>
          <w:bCs/>
          <w:sz w:val="28"/>
          <w:szCs w:val="28"/>
        </w:rPr>
        <w:t>团队</w:t>
      </w:r>
    </w:p>
    <w:p w14:paraId="527BB830">
      <w:pPr>
        <w:widowControl w:val="0"/>
        <w:ind w:firstLine="420"/>
        <w:jc w:val="left"/>
        <w:textAlignment w:val="auto"/>
        <w:rPr>
          <w:rFonts w:ascii="仿宋_GB2312" w:hAnsi="Calibri" w:eastAsia="仿宋_GB2312"/>
          <w:sz w:val="28"/>
          <w:szCs w:val="28"/>
        </w:rPr>
      </w:pPr>
      <w:r>
        <w:rPr>
          <w:rFonts w:hint="eastAsia" w:ascii="仿宋_GB2312" w:hAnsi="Calibri" w:eastAsia="仿宋_GB2312"/>
          <w:sz w:val="28"/>
          <w:szCs w:val="28"/>
        </w:rPr>
        <w:t>由佛山华材职业技术学校信息部计算机专业教师团队组成实训场室建设项目团队，具体落实指导小组工作要求，落实项目规划、建设实施与制定管理文件，并协调各建设单位的工作对资源库项目进行全方位技术支持。</w:t>
      </w:r>
    </w:p>
    <w:p w14:paraId="29D50487">
      <w:pPr>
        <w:widowControl w:val="0"/>
        <w:adjustRightInd w:val="0"/>
        <w:snapToGrid w:val="0"/>
        <w:spacing w:line="312" w:lineRule="auto"/>
        <w:textAlignment w:val="auto"/>
        <w:rPr>
          <w:rFonts w:ascii="宋体" w:hAnsi="宋体"/>
          <w:bCs/>
          <w:kern w:val="0"/>
          <w:sz w:val="24"/>
          <w:szCs w:val="24"/>
        </w:rPr>
      </w:pPr>
    </w:p>
    <w:p w14:paraId="69A20873">
      <w:pPr>
        <w:widowControl w:val="0"/>
        <w:numPr>
          <w:ilvl w:val="0"/>
          <w:numId w:val="1"/>
        </w:numPr>
        <w:jc w:val="left"/>
        <w:textAlignment w:val="auto"/>
        <w:rPr>
          <w:rFonts w:hint="eastAsia" w:ascii="仿宋_GB2312" w:hAnsi="Calibri" w:eastAsia="仿宋_GB2312"/>
          <w:b/>
          <w:bCs/>
          <w:sz w:val="32"/>
          <w:szCs w:val="32"/>
        </w:rPr>
      </w:pPr>
      <w:bookmarkStart w:id="13" w:name="_Toc523490242"/>
      <w:r>
        <w:rPr>
          <w:rFonts w:hint="eastAsia" w:ascii="仿宋_GB2312" w:hAnsi="Calibri" w:eastAsia="仿宋_GB2312"/>
          <w:b/>
          <w:bCs/>
          <w:sz w:val="32"/>
          <w:szCs w:val="32"/>
        </w:rPr>
        <w:t>项目的建设意义</w:t>
      </w:r>
      <w:bookmarkEnd w:id="13"/>
    </w:p>
    <w:p w14:paraId="50290434">
      <w:pPr>
        <w:widowControl w:val="0"/>
        <w:ind w:firstLine="420"/>
        <w:jc w:val="left"/>
        <w:textAlignment w:val="auto"/>
        <w:rPr>
          <w:rFonts w:ascii="仿宋_GB2312" w:hAnsi="Calibri" w:eastAsia="仿宋_GB2312"/>
          <w:sz w:val="28"/>
          <w:szCs w:val="28"/>
        </w:rPr>
      </w:pPr>
      <w:r>
        <w:rPr>
          <w:rFonts w:hint="eastAsia" w:ascii="仿宋_GB2312" w:hAnsi="Calibri" w:eastAsia="仿宋_GB2312"/>
          <w:sz w:val="28"/>
          <w:szCs w:val="28"/>
        </w:rPr>
        <w:t>预计项目实施以后，依托网络安全实训室，使云服务覆盖多个实训室，专业实现“计算机网络技术”方向扩大1个班，达60人/年，利用该场室组织学生参加1+X考评考工预计约60人。该场室的建成既完善了本专业的实训教学和竞赛训练条件，也完善了适合本专业发展的课程体系。</w:t>
      </w:r>
    </w:p>
    <w:p w14:paraId="16FBC5E6">
      <w:pPr>
        <w:widowControl w:val="0"/>
        <w:ind w:firstLine="420"/>
        <w:jc w:val="right"/>
        <w:textAlignment w:val="auto"/>
        <w:rPr>
          <w:rFonts w:ascii="仿宋_GB2312" w:hAnsi="Calibri" w:eastAsia="仿宋_GB2312"/>
          <w:sz w:val="28"/>
          <w:szCs w:val="28"/>
        </w:rPr>
      </w:pPr>
      <w:r>
        <w:rPr>
          <w:rFonts w:hint="eastAsia" w:ascii="仿宋_GB2312" w:hAnsi="Calibri" w:eastAsia="仿宋_GB2312"/>
          <w:sz w:val="28"/>
          <w:szCs w:val="28"/>
        </w:rPr>
        <w:t>2021年</w:t>
      </w:r>
      <w:r>
        <w:rPr>
          <w:rFonts w:ascii="仿宋_GB2312" w:hAnsi="Calibri" w:eastAsia="仿宋_GB2312"/>
          <w:sz w:val="28"/>
          <w:szCs w:val="28"/>
        </w:rPr>
        <w:t>1</w:t>
      </w:r>
      <w:r>
        <w:rPr>
          <w:rFonts w:hint="eastAsia" w:ascii="仿宋_GB2312" w:hAnsi="Calibri" w:eastAsia="仿宋_GB2312"/>
          <w:sz w:val="28"/>
          <w:szCs w:val="28"/>
        </w:rPr>
        <w:t>月17日</w:t>
      </w:r>
    </w:p>
    <w:p w14:paraId="6DD35FE3">
      <w:pPr>
        <w:widowControl w:val="0"/>
        <w:ind w:firstLine="420"/>
        <w:jc w:val="right"/>
        <w:textAlignment w:val="auto"/>
        <w:rPr>
          <w:rFonts w:ascii="仿宋_GB2312" w:hAnsi="Calibri" w:eastAsia="仿宋_GB2312"/>
          <w:sz w:val="28"/>
          <w:szCs w:val="28"/>
        </w:rPr>
      </w:pPr>
      <w:r>
        <w:rPr>
          <w:rFonts w:hint="eastAsia" w:ascii="仿宋_GB2312" w:hAnsi="Calibri" w:eastAsia="仿宋_GB2312"/>
          <w:sz w:val="28"/>
          <w:szCs w:val="28"/>
        </w:rPr>
        <w:t>信息部专业部</w:t>
      </w:r>
    </w:p>
    <w:sectPr>
      <w:headerReference r:id="rId3" w:type="default"/>
      <w:footerReference r:id="rId4" w:type="default"/>
      <w:pgSz w:w="11906" w:h="16838"/>
      <w:pgMar w:top="1440" w:right="1803" w:bottom="1440" w:left="1803" w:header="851" w:footer="992" w:gutter="0"/>
      <w:pgNumType w:start="1"/>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E5467">
    <w:pPr>
      <w:pStyle w:val="5"/>
      <w:ind w:right="360"/>
      <w:jc w:val="center"/>
      <w:rPr>
        <w:rStyle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04E14">
    <w:pPr>
      <w:pStyle w:val="6"/>
      <w:pBdr>
        <w:bottom w:val="single" w:color="auto" w:sz="4" w:space="1"/>
      </w:pBdr>
      <w:tabs>
        <w:tab w:val="clear" w:pos="4153"/>
        <w:tab w:val="clear" w:pos="8306"/>
      </w:tabs>
      <w:ind w:left="0" w:leftChars="-399" w:right="-932" w:rightChars="-444" w:hanging="838" w:hangingChars="466"/>
      <w:jc w:val="left"/>
    </w:pPr>
    <w:r>
      <w:rPr>
        <w:rFonts w:ascii="楷体_GB2312" w:eastAsia="楷体_GB2312"/>
      </w:rPr>
      <w:drawing>
        <wp:inline distT="0" distB="0" distL="114300" distR="114300">
          <wp:extent cx="2592070" cy="305435"/>
          <wp:effectExtent l="0" t="0" r="13970" b="14605"/>
          <wp:docPr id="1" name="图片 1" descr="华材标志（091208）-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华材标志（091208）-曲线"/>
                  <pic:cNvPicPr>
                    <a:picLocks noChangeAspect="1"/>
                  </pic:cNvPicPr>
                </pic:nvPicPr>
                <pic:blipFill>
                  <a:blip r:embed="rId1"/>
                  <a:stretch>
                    <a:fillRect/>
                  </a:stretch>
                </pic:blipFill>
                <pic:spPr>
                  <a:xfrm>
                    <a:off x="0" y="0"/>
                    <a:ext cx="2592070" cy="305435"/>
                  </a:xfrm>
                  <a:prstGeom prst="rect">
                    <a:avLst/>
                  </a:prstGeom>
                  <a:noFill/>
                  <a:ln>
                    <a:noFill/>
                  </a:ln>
                </pic:spPr>
              </pic:pic>
            </a:graphicData>
          </a:graphic>
        </wp:inline>
      </w:drawing>
    </w:r>
    <w:r>
      <w:rPr>
        <w:sz w:val="36"/>
      </w:rPr>
      <mc:AlternateContent>
        <mc:Choice Requires="wps">
          <w:drawing>
            <wp:anchor distT="0" distB="0" distL="114300" distR="114300" simplePos="0" relativeHeight="251659264" behindDoc="0" locked="0" layoutInCell="1" allowOverlap="1">
              <wp:simplePos x="0" y="0"/>
              <wp:positionH relativeFrom="column">
                <wp:posOffset>4143375</wp:posOffset>
              </wp:positionH>
              <wp:positionV relativeFrom="paragraph">
                <wp:posOffset>-12700</wp:posOffset>
              </wp:positionV>
              <wp:extent cx="1969770" cy="328930"/>
              <wp:effectExtent l="0" t="0" r="11430" b="6350"/>
              <wp:wrapNone/>
              <wp:docPr id="8" name="文本框 8"/>
              <wp:cNvGraphicFramePr/>
              <a:graphic xmlns:a="http://schemas.openxmlformats.org/drawingml/2006/main">
                <a:graphicData uri="http://schemas.microsoft.com/office/word/2010/wordprocessingShape">
                  <wps:wsp>
                    <wps:cNvSpPr txBox="1"/>
                    <wps:spPr>
                      <a:xfrm>
                        <a:off x="0" y="0"/>
                        <a:ext cx="1969770" cy="328930"/>
                      </a:xfrm>
                      <a:prstGeom prst="rect">
                        <a:avLst/>
                      </a:prstGeom>
                      <a:solidFill>
                        <a:srgbClr val="FFFFFF"/>
                      </a:solidFill>
                      <a:ln>
                        <a:noFill/>
                      </a:ln>
                    </wps:spPr>
                    <wps:txbx>
                      <w:txbxContent>
                        <w:p w14:paraId="525F650D">
                          <w:pPr>
                            <w:ind w:right="180"/>
                            <w:jc w:val="right"/>
                            <w:rPr>
                              <w:rFonts w:ascii="华文隶书" w:hAnsi="华文隶书" w:eastAsia="华文隶书" w:cs="华文隶书"/>
                              <w:color w:val="008C37"/>
                              <w:sz w:val="18"/>
                              <w:szCs w:val="18"/>
                            </w:rPr>
                          </w:pPr>
                          <w:r>
                            <w:rPr>
                              <w:rFonts w:hint="eastAsia" w:ascii="华文隶书" w:hAnsi="华文隶书" w:eastAsia="华文隶书" w:cs="华文隶书"/>
                              <w:color w:val="008C37"/>
                              <w:sz w:val="18"/>
                              <w:szCs w:val="18"/>
                            </w:rPr>
                            <w:t>计算机网络专业双精准材料</w:t>
                          </w:r>
                        </w:p>
                      </w:txbxContent>
                    </wps:txbx>
                    <wps:bodyPr upright="1"/>
                  </wps:wsp>
                </a:graphicData>
              </a:graphic>
            </wp:anchor>
          </w:drawing>
        </mc:Choice>
        <mc:Fallback>
          <w:pict>
            <v:shape id="_x0000_s1026" o:spid="_x0000_s1026" o:spt="202" type="#_x0000_t202" style="position:absolute;left:0pt;margin-left:326.25pt;margin-top:-1pt;height:25.9pt;width:155.1pt;z-index:251659264;mso-width-relative:page;mso-height-relative:page;" fillcolor="#FFFFFF" filled="t" stroked="f" coordsize="21600,21600" o:gfxdata="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pbF8dgAAAAJAQAADwAAAAAAAAABACAAAAAiAAAAZHJzL2Rvd25yZXYu&#10;eG1sUEsBAhQAFAAAAAgAh07iQDkTmafCAQAAdwMAAA4AAAAAAAAAAQAgAAAAJwEAAGRycy9lMm9E&#10;b2MueG1sUEsFBgAAAAAGAAYAWQEAAFsFAAAAAA==&#10;">
              <v:fill on="t" focussize="0,0"/>
              <v:stroke on="f"/>
              <v:imagedata o:title=""/>
              <o:lock v:ext="edit" aspectratio="f"/>
              <v:textbox>
                <w:txbxContent>
                  <w:p w14:paraId="525F650D">
                    <w:pPr>
                      <w:ind w:right="180"/>
                      <w:jc w:val="right"/>
                      <w:rPr>
                        <w:rFonts w:ascii="华文隶书" w:hAnsi="华文隶书" w:eastAsia="华文隶书" w:cs="华文隶书"/>
                        <w:color w:val="008C37"/>
                        <w:sz w:val="18"/>
                        <w:szCs w:val="18"/>
                      </w:rPr>
                    </w:pPr>
                    <w:r>
                      <w:rPr>
                        <w:rFonts w:hint="eastAsia" w:ascii="华文隶书" w:hAnsi="华文隶书" w:eastAsia="华文隶书" w:cs="华文隶书"/>
                        <w:color w:val="008C37"/>
                        <w:sz w:val="18"/>
                        <w:szCs w:val="18"/>
                      </w:rPr>
                      <w:t>计算机网络专业双精准材料</w:t>
                    </w:r>
                  </w:p>
                </w:txbxContent>
              </v:textbox>
            </v:shape>
          </w:pict>
        </mc:Fallback>
      </mc:AlternateContent>
    </w:r>
    <w:r>
      <w:rPr>
        <w:rFonts w:hint="eastAsia" w:ascii="楷体_GB2312" w:eastAsia="楷体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5FD99A"/>
    <w:multiLevelType w:val="singleLevel"/>
    <w:tmpl w:val="F65FD99A"/>
    <w:lvl w:ilvl="0" w:tentative="0">
      <w:start w:val="1"/>
      <w:numFmt w:val="chineseCounting"/>
      <w:suff w:val="nothing"/>
      <w:lvlText w:val="%1、"/>
      <w:lvlJc w:val="left"/>
      <w:pPr>
        <w:ind w:left="-42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NzkwMmQxZjExYTUwMzM4ZGM5N2VhZmRkOTJlYTgifQ=="/>
  </w:docVars>
  <w:rsids>
    <w:rsidRoot w:val="40591C8E"/>
    <w:rsid w:val="00134C13"/>
    <w:rsid w:val="0015129B"/>
    <w:rsid w:val="003C2F62"/>
    <w:rsid w:val="006F7845"/>
    <w:rsid w:val="007B683C"/>
    <w:rsid w:val="009628A8"/>
    <w:rsid w:val="009B5B6D"/>
    <w:rsid w:val="00DA75B7"/>
    <w:rsid w:val="00DF6A1D"/>
    <w:rsid w:val="00F74CCB"/>
    <w:rsid w:val="013C08ED"/>
    <w:rsid w:val="01916C56"/>
    <w:rsid w:val="02FD359F"/>
    <w:rsid w:val="077D3515"/>
    <w:rsid w:val="0E7C27DD"/>
    <w:rsid w:val="10A05BB3"/>
    <w:rsid w:val="10F77DF8"/>
    <w:rsid w:val="12F64169"/>
    <w:rsid w:val="188D57B0"/>
    <w:rsid w:val="18A951FE"/>
    <w:rsid w:val="1BDF4D78"/>
    <w:rsid w:val="1EB75C4C"/>
    <w:rsid w:val="1F8766A8"/>
    <w:rsid w:val="23AF1EC6"/>
    <w:rsid w:val="25F40CC0"/>
    <w:rsid w:val="267C2C97"/>
    <w:rsid w:val="2823448F"/>
    <w:rsid w:val="298725A2"/>
    <w:rsid w:val="366715F5"/>
    <w:rsid w:val="39BD7EC8"/>
    <w:rsid w:val="3BB70A8F"/>
    <w:rsid w:val="3C0B1D2C"/>
    <w:rsid w:val="3C6C2B1E"/>
    <w:rsid w:val="3E254948"/>
    <w:rsid w:val="40591C8E"/>
    <w:rsid w:val="40D51E6A"/>
    <w:rsid w:val="42B51906"/>
    <w:rsid w:val="45ED6023"/>
    <w:rsid w:val="47CA47C9"/>
    <w:rsid w:val="48B753FA"/>
    <w:rsid w:val="496025F6"/>
    <w:rsid w:val="49C83F24"/>
    <w:rsid w:val="4FD36EED"/>
    <w:rsid w:val="50CA67EE"/>
    <w:rsid w:val="51480861"/>
    <w:rsid w:val="575D6EF4"/>
    <w:rsid w:val="58EC6BDD"/>
    <w:rsid w:val="5B535023"/>
    <w:rsid w:val="5C35014D"/>
    <w:rsid w:val="5DDC7A7F"/>
    <w:rsid w:val="5E275192"/>
    <w:rsid w:val="5F06666B"/>
    <w:rsid w:val="6044139E"/>
    <w:rsid w:val="6083669E"/>
    <w:rsid w:val="62023EAE"/>
    <w:rsid w:val="62963F93"/>
    <w:rsid w:val="63095B51"/>
    <w:rsid w:val="66EE5FF2"/>
    <w:rsid w:val="67FF25BC"/>
    <w:rsid w:val="6C5C5B98"/>
    <w:rsid w:val="6F995CBE"/>
    <w:rsid w:val="71975813"/>
    <w:rsid w:val="72BF3AD8"/>
    <w:rsid w:val="74D47C13"/>
    <w:rsid w:val="797E072C"/>
    <w:rsid w:val="7C19400C"/>
    <w:rsid w:val="7C6372D9"/>
    <w:rsid w:val="7CBA6FE1"/>
    <w:rsid w:val="7FEB49CB"/>
    <w:rsid w:val="BB6F9016"/>
    <w:rsid w:val="BDDF5A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jc w:val="center"/>
      <w:outlineLvl w:val="0"/>
    </w:pPr>
    <w:rPr>
      <w:rFonts w:eastAsia="黑体"/>
      <w:b/>
      <w:bCs/>
      <w:kern w:val="44"/>
      <w:sz w:val="44"/>
      <w:szCs w:val="44"/>
    </w:rPr>
  </w:style>
  <w:style w:type="paragraph" w:styleId="3">
    <w:name w:val="heading 2"/>
    <w:basedOn w:val="1"/>
    <w:next w:val="1"/>
    <w:qFormat/>
    <w:uiPriority w:val="0"/>
    <w:pPr>
      <w:keepNext/>
      <w:keepLines/>
      <w:spacing w:beforeLines="100"/>
      <w:outlineLvl w:val="1"/>
    </w:pPr>
    <w:rPr>
      <w:rFonts w:eastAsia="黑体"/>
      <w:b/>
      <w:bCs/>
      <w:sz w:val="32"/>
      <w:szCs w:val="32"/>
    </w:rPr>
  </w:style>
  <w:style w:type="paragraph" w:styleId="4">
    <w:name w:val="heading 3"/>
    <w:basedOn w:val="1"/>
    <w:next w:val="1"/>
    <w:qFormat/>
    <w:uiPriority w:val="0"/>
    <w:pPr>
      <w:keepNext/>
      <w:keepLines/>
      <w:spacing w:beforeLines="100" w:line="360" w:lineRule="auto"/>
      <w:outlineLvl w:val="2"/>
    </w:pPr>
    <w:rPr>
      <w:rFonts w:eastAsia="Times New Roman"/>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NormalCharacter"/>
    <w:qFormat/>
    <w:uiPriority w:val="0"/>
  </w:style>
  <w:style w:type="paragraph" w:customStyle="1" w:styleId="11">
    <w:name w:val="TOC1"/>
    <w:basedOn w:val="1"/>
    <w:next w:val="1"/>
    <w:qFormat/>
    <w:uiPriority w:val="0"/>
  </w:style>
  <w:style w:type="paragraph" w:customStyle="1" w:styleId="12">
    <w:name w:val="_Style 44"/>
    <w:basedOn w:val="1"/>
    <w:next w:val="13"/>
    <w:qFormat/>
    <w:uiPriority w:val="0"/>
    <w:pPr>
      <w:widowControl w:val="0"/>
      <w:ind w:firstLine="420" w:firstLineChars="200"/>
      <w:textAlignment w:val="auto"/>
    </w:pPr>
  </w:style>
  <w:style w:type="paragraph" w:customStyle="1" w:styleId="13">
    <w:name w:val="列出段落1"/>
    <w:basedOn w:val="1"/>
    <w:qFormat/>
    <w:uiPriority w:val="0"/>
    <w:pPr>
      <w:ind w:firstLine="420" w:firstLineChars="200"/>
    </w:pPr>
  </w:style>
  <w:style w:type="character" w:customStyle="1" w:styleId="14">
    <w:name w:val="PageNumber"/>
    <w:qFormat/>
    <w:uiPriority w:val="0"/>
  </w:style>
  <w:style w:type="paragraph" w:customStyle="1" w:styleId="15">
    <w:name w:val="Table Paragraph"/>
    <w:basedOn w:val="1"/>
    <w:qFormat/>
    <w:uiPriority w:val="1"/>
    <w:rPr>
      <w:rFonts w:ascii="宋体" w:hAnsi="宋体" w:cs="宋体"/>
      <w:lang w:val="zh-CN" w:bidi="zh-CN"/>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4</Pages>
  <Words>1077</Words>
  <Characters>1186</Characters>
  <Lines>9</Lines>
  <Paragraphs>2</Paragraphs>
  <TotalTime>4</TotalTime>
  <ScaleCrop>false</ScaleCrop>
  <LinksUpToDate>false</LinksUpToDate>
  <CharactersWithSpaces>1188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2022-05-03T13:01:00Z</dcterms:created>
  <dc:creator>丶D梦依</dc:creator>
  <cp:lastModifiedBy>杨煜新</cp:lastModifiedBy>
  <dcterms:modified xsi:type="dcterms:W3CDTF">2024-12-05T05:19:22Z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B60987766BC34C2196C2A91E76298DB9</vt:lpwstr>
  </property>
</Properties>
</file>