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3A67" w:rsidRDefault="001576A2">
      <w:pPr>
        <w:spacing w:line="276" w:lineRule="auto"/>
        <w:jc w:val="center"/>
        <w:rPr>
          <w:rFonts w:ascii="方正粗黑宋简体" w:eastAsia="方正粗黑宋简体" w:hAnsi="方正粗黑宋简体" w:hint="eastAsia"/>
          <w:sz w:val="36"/>
          <w:szCs w:val="36"/>
        </w:rPr>
      </w:pPr>
      <w:r>
        <w:rPr>
          <w:rFonts w:ascii="方正粗黑宋简体" w:eastAsia="方正粗黑宋简体" w:hAnsi="方正粗黑宋简体" w:hint="eastAsia"/>
          <w:sz w:val="36"/>
          <w:szCs w:val="36"/>
        </w:rPr>
        <w:t>佛山市华材职业技术学校佛山市示范专业中期验收检查</w:t>
      </w:r>
    </w:p>
    <w:p w:rsidR="00E13A67" w:rsidRDefault="001576A2">
      <w:pPr>
        <w:spacing w:line="276" w:lineRule="auto"/>
        <w:jc w:val="center"/>
        <w:rPr>
          <w:rFonts w:ascii="方正粗黑宋简体" w:eastAsia="方正粗黑宋简体" w:hAnsi="方正粗黑宋简体" w:hint="eastAsia"/>
          <w:b/>
          <w:sz w:val="36"/>
          <w:szCs w:val="36"/>
        </w:rPr>
      </w:pPr>
      <w:r>
        <w:rPr>
          <w:rFonts w:ascii="方正粗黑宋简体" w:eastAsia="方正粗黑宋简体" w:hAnsi="方正粗黑宋简体" w:hint="eastAsia"/>
          <w:b/>
          <w:sz w:val="36"/>
          <w:szCs w:val="36"/>
        </w:rPr>
        <w:t>计算机网络技术专业建设目标达成度自评表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54"/>
        <w:gridCol w:w="801"/>
        <w:gridCol w:w="3523"/>
        <w:gridCol w:w="1520"/>
        <w:gridCol w:w="2688"/>
      </w:tblGrid>
      <w:tr w:rsidR="00E13A67">
        <w:trPr>
          <w:trHeight w:val="519"/>
        </w:trPr>
        <w:tc>
          <w:tcPr>
            <w:tcW w:w="1555" w:type="dxa"/>
            <w:gridSpan w:val="2"/>
            <w:vAlign w:val="center"/>
          </w:tcPr>
          <w:p w:rsidR="00E13A67" w:rsidRDefault="001576A2">
            <w:pPr>
              <w:pStyle w:val="1"/>
              <w:spacing w:before="0" w:after="0" w:line="276" w:lineRule="auto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bookmarkStart w:id="0" w:name="_Toc381124755"/>
            <w:bookmarkStart w:id="1" w:name="_Toc394270579"/>
            <w:r>
              <w:rPr>
                <w:rFonts w:ascii="宋体" w:hAnsi="宋体" w:hint="eastAsia"/>
                <w:kern w:val="0"/>
                <w:sz w:val="21"/>
                <w:szCs w:val="21"/>
              </w:rPr>
              <w:t>一级指标</w:t>
            </w:r>
            <w:bookmarkEnd w:id="0"/>
            <w:bookmarkEnd w:id="1"/>
          </w:p>
        </w:tc>
        <w:tc>
          <w:tcPr>
            <w:tcW w:w="3523" w:type="dxa"/>
            <w:vAlign w:val="center"/>
          </w:tcPr>
          <w:p w:rsidR="00E13A67" w:rsidRDefault="001576A2">
            <w:pPr>
              <w:pStyle w:val="1"/>
              <w:spacing w:before="0" w:after="0" w:line="276" w:lineRule="auto"/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</w:pPr>
            <w:bookmarkStart w:id="2" w:name="_Toc394270580"/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3.</w:t>
            </w:r>
            <w:bookmarkEnd w:id="2"/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建设成果</w:t>
            </w:r>
          </w:p>
        </w:tc>
        <w:tc>
          <w:tcPr>
            <w:tcW w:w="1520" w:type="dxa"/>
            <w:vAlign w:val="center"/>
          </w:tcPr>
          <w:p w:rsidR="00E13A67" w:rsidRDefault="001576A2">
            <w:pPr>
              <w:pStyle w:val="1"/>
              <w:spacing w:before="0" w:after="0" w:line="276" w:lineRule="auto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bookmarkStart w:id="3" w:name="_Toc381124757"/>
            <w:bookmarkStart w:id="4" w:name="_Toc394270581"/>
            <w:r>
              <w:rPr>
                <w:rFonts w:ascii="宋体" w:hAnsi="宋体" w:hint="eastAsia"/>
                <w:kern w:val="0"/>
                <w:sz w:val="21"/>
                <w:szCs w:val="21"/>
              </w:rPr>
              <w:t>二级指标</w:t>
            </w:r>
            <w:bookmarkEnd w:id="3"/>
            <w:bookmarkEnd w:id="4"/>
          </w:p>
        </w:tc>
        <w:tc>
          <w:tcPr>
            <w:tcW w:w="2688" w:type="dxa"/>
            <w:vAlign w:val="center"/>
          </w:tcPr>
          <w:p w:rsidR="00E13A67" w:rsidRDefault="001576A2">
            <w:pPr>
              <w:pStyle w:val="1"/>
              <w:spacing w:before="0" w:after="0" w:line="276" w:lineRule="auto"/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6.3.3</w:t>
            </w: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校企合作</w:t>
            </w:r>
          </w:p>
        </w:tc>
      </w:tr>
      <w:tr w:rsidR="00E13A67">
        <w:trPr>
          <w:trHeight w:val="540"/>
        </w:trPr>
        <w:tc>
          <w:tcPr>
            <w:tcW w:w="1555" w:type="dxa"/>
            <w:gridSpan w:val="2"/>
            <w:vAlign w:val="center"/>
          </w:tcPr>
          <w:p w:rsidR="00E13A67" w:rsidRDefault="001576A2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主要建设目标</w:t>
            </w:r>
          </w:p>
        </w:tc>
        <w:tc>
          <w:tcPr>
            <w:tcW w:w="3523" w:type="dxa"/>
            <w:vAlign w:val="center"/>
          </w:tcPr>
          <w:p w:rsidR="00E13A67" w:rsidRDefault="001576A2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建立稳定可靠的校企合作机制，校企合作深入、有效，受益学生比例高。</w:t>
            </w:r>
          </w:p>
        </w:tc>
        <w:tc>
          <w:tcPr>
            <w:tcW w:w="1520" w:type="dxa"/>
            <w:vAlign w:val="center"/>
          </w:tcPr>
          <w:p w:rsidR="00E13A67" w:rsidRDefault="001576A2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评价效果</w:t>
            </w:r>
          </w:p>
        </w:tc>
        <w:tc>
          <w:tcPr>
            <w:tcW w:w="2688" w:type="dxa"/>
            <w:vAlign w:val="center"/>
          </w:tcPr>
          <w:p w:rsidR="00E13A67" w:rsidRDefault="001576A2">
            <w:pPr>
              <w:tabs>
                <w:tab w:val="left" w:pos="641"/>
                <w:tab w:val="center" w:pos="1493"/>
              </w:tabs>
              <w:jc w:val="lef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专业校企合作“深”</w:t>
            </w:r>
          </w:p>
        </w:tc>
      </w:tr>
      <w:tr w:rsidR="00E13A67">
        <w:trPr>
          <w:trHeight w:val="1237"/>
        </w:trPr>
        <w:tc>
          <w:tcPr>
            <w:tcW w:w="754" w:type="dxa"/>
            <w:vAlign w:val="center"/>
          </w:tcPr>
          <w:p w:rsidR="00E13A67" w:rsidRDefault="001576A2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主要建设任务</w:t>
            </w:r>
          </w:p>
        </w:tc>
        <w:tc>
          <w:tcPr>
            <w:tcW w:w="8532" w:type="dxa"/>
            <w:gridSpan w:val="4"/>
            <w:vAlign w:val="center"/>
          </w:tcPr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开拓校企深度融合的联合培养合作企业数量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）校企联合订单培养合作企业数量增到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家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）校企深度融合培养合作企业数量增到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家，订单培养学生达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人以上。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增加企业兼职教师在校数担任课时数量。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企业兼职教师在校担任课时数占总课时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25%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3.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加强校企联合开发岗位认证课程培养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）计算机网络技术岗位认证标准建设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）校企合作开发岗位认证培训课程数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门</w:t>
            </w:r>
          </w:p>
        </w:tc>
      </w:tr>
      <w:tr w:rsidR="00E13A67">
        <w:trPr>
          <w:trHeight w:val="1553"/>
        </w:trPr>
        <w:tc>
          <w:tcPr>
            <w:tcW w:w="754" w:type="dxa"/>
            <w:vAlign w:val="center"/>
          </w:tcPr>
          <w:p w:rsidR="00E13A67" w:rsidRDefault="001576A2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建设目标完成情况</w:t>
            </w:r>
          </w:p>
        </w:tc>
        <w:tc>
          <w:tcPr>
            <w:tcW w:w="8532" w:type="dxa"/>
            <w:gridSpan w:val="4"/>
            <w:vAlign w:val="center"/>
          </w:tcPr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学校制定了校企共同教育、教学、管理学生的校企合作机制等一系列校企合作制度，依托学校牵头的职教集团，在原有基础上，</w:t>
            </w:r>
            <w:r w:rsidR="001E325F" w:rsidRPr="001E325F">
              <w:rPr>
                <w:rFonts w:ascii="宋体" w:eastAsia="宋体" w:hAnsi="宋体" w:hint="eastAsia"/>
                <w:kern w:val="0"/>
                <w:sz w:val="21"/>
                <w:szCs w:val="21"/>
              </w:rPr>
              <w:t>新增8家企业，签订了共建共培“校企合作协议”，合作企业达15家，可提供460余个/期实践教学岗位；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与海尔智家、福建鸿官通信等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家企业深度进行合作，</w:t>
            </w:r>
            <w:r w:rsidR="001E325F">
              <w:rPr>
                <w:rFonts w:ascii="宋体" w:eastAsia="宋体" w:hAnsi="宋体" w:hint="eastAsia"/>
                <w:kern w:val="0"/>
                <w:sz w:val="21"/>
                <w:szCs w:val="21"/>
              </w:rPr>
              <w:t>建设期内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，进行订单培养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554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人</w:t>
            </w:r>
            <w:r w:rsidR="001E325F">
              <w:rPr>
                <w:rFonts w:ascii="宋体" w:eastAsia="宋体" w:hAnsi="宋体" w:hint="eastAsia"/>
                <w:kern w:val="0"/>
                <w:sz w:val="21"/>
                <w:szCs w:val="21"/>
              </w:rPr>
              <w:t>，占比87.4%，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顶岗实习</w:t>
            </w:r>
            <w:r w:rsidR="001E325F">
              <w:rPr>
                <w:rFonts w:ascii="宋体" w:eastAsia="宋体" w:hAnsi="宋体" w:hint="eastAsia"/>
                <w:kern w:val="0"/>
                <w:sz w:val="21"/>
                <w:szCs w:val="21"/>
              </w:rPr>
              <w:t>638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人；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本专业选拔聘任行企技术能手担任兼职教师，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2021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聘任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人，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2022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聘任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人，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2023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聘任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人，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2024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聘任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人，</w:t>
            </w:r>
            <w:r w:rsidR="005B6BDC" w:rsidRPr="005B6BDC">
              <w:rPr>
                <w:rFonts w:ascii="宋体" w:eastAsia="宋体" w:hAnsi="宋体" w:hint="eastAsia"/>
                <w:kern w:val="0"/>
                <w:sz w:val="21"/>
                <w:szCs w:val="21"/>
              </w:rPr>
              <w:t>在库9人</w:t>
            </w:r>
            <w:r w:rsidR="005B6BDC">
              <w:rPr>
                <w:rFonts w:ascii="宋体" w:eastAsia="宋体" w:hAnsi="宋体" w:hint="eastAsia"/>
                <w:kern w:val="0"/>
                <w:sz w:val="21"/>
                <w:szCs w:val="21"/>
              </w:rPr>
              <w:t>。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平均每人每周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课时</w:t>
            </w:r>
            <w:r w:rsidR="005B6BDC">
              <w:rPr>
                <w:rFonts w:ascii="宋体" w:eastAsia="宋体" w:hAnsi="宋体" w:hint="eastAsia"/>
                <w:kern w:val="0"/>
                <w:sz w:val="21"/>
                <w:szCs w:val="21"/>
              </w:rPr>
              <w:t>以上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；企业实习导师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名，平均每人每年实习辅导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570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课时。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企业兼职教师每学期在校担任课时数占总课时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27%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以上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；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开发校企联合岗位培养主要课程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门，校企双导师共同开发《路由器与交换机》等核心课程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门；</w:t>
            </w:r>
          </w:p>
          <w:p w:rsidR="00E13A67" w:rsidRDefault="005B6BDC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4.</w:t>
            </w:r>
            <w:r w:rsidRPr="005B6BDC">
              <w:rPr>
                <w:rFonts w:ascii="宋体" w:eastAsia="宋体" w:hAnsi="宋体" w:hint="eastAsia"/>
                <w:kern w:val="0"/>
                <w:sz w:val="21"/>
                <w:szCs w:val="21"/>
              </w:rPr>
              <w:t>考核方式不断优化，育人成效显著提升。组织学生参加1+X网络系统软件应用与维护职业技能等级考评，2021年、2022年各有50人参加初级考评，通过率达100%，远高于全省平均水平；2023年50名学生参加初级考评，通过率为98%，20人参加中级考评，通过率为95%。2024年50名学生报名参加1+X中级考试的培训，并已完成考试报名。同时，学校每年均组织一年级学生参加全国计算机等级考试，组织二年级学生参加网络管理员中级考证，近四年毕业生双证书率分别为97.1%、98.1%、100%、97.9%，大幅提升了专业精准育人水平</w:t>
            </w:r>
            <w:r w:rsidR="001576A2">
              <w:rPr>
                <w:rFonts w:ascii="宋体" w:eastAsia="宋体" w:hAnsi="宋体" w:hint="eastAsia"/>
                <w:kern w:val="0"/>
                <w:sz w:val="21"/>
                <w:szCs w:val="21"/>
              </w:rPr>
              <w:t>。</w:t>
            </w:r>
          </w:p>
        </w:tc>
      </w:tr>
      <w:tr w:rsidR="00E13A67">
        <w:trPr>
          <w:trHeight w:val="588"/>
        </w:trPr>
        <w:tc>
          <w:tcPr>
            <w:tcW w:w="754" w:type="dxa"/>
            <w:vAlign w:val="center"/>
          </w:tcPr>
          <w:p w:rsidR="00E13A67" w:rsidRDefault="001576A2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佐证材料目录</w:t>
            </w:r>
          </w:p>
        </w:tc>
        <w:tc>
          <w:tcPr>
            <w:tcW w:w="8532" w:type="dxa"/>
            <w:gridSpan w:val="4"/>
          </w:tcPr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6.3.3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校企合作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6.3.3.0.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计算机网络技术专业订单培养过程材料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6.3.3.1.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华材校〔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2013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〕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16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号（关于印发《佛山市华材职业技术学校“订单培养”管理办法》的通知）</w:t>
            </w:r>
          </w:p>
          <w:p w:rsidR="00B76D15" w:rsidRDefault="00B76D15">
            <w:pPr>
              <w:spacing w:line="276" w:lineRule="auto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76D15">
              <w:rPr>
                <w:rFonts w:ascii="宋体" w:eastAsia="宋体" w:hAnsi="宋体"/>
                <w:kern w:val="0"/>
                <w:sz w:val="21"/>
                <w:szCs w:val="21"/>
              </w:rPr>
              <w:t>6.3.3.2.2021-2024</w:t>
            </w:r>
            <w:r w:rsidRPr="00B76D15">
              <w:rPr>
                <w:rFonts w:ascii="宋体" w:eastAsia="宋体" w:hAnsi="宋体" w:hint="eastAsia"/>
                <w:kern w:val="0"/>
                <w:sz w:val="21"/>
                <w:szCs w:val="21"/>
              </w:rPr>
              <w:t>年计算机网络技术专业新增校外实训地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.3.3.3.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获批市级以上校企精准育人项目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6.3.3.4.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校企合作精准育人总数人次情况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lastRenderedPageBreak/>
              <w:t>6.3.3.5.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校企深度融合培养合作企业数量达到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家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6.3.3.6.1.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计算机网络技术专业订单培养材料（海尔订单培养）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6.3.3.6.2.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计算机网络技术专业订单培养材料（鸿官订单培养）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6.3.3.7.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计算机网络技术专业兼职教师任课情况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6.3.3.8.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校企联合开发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门主干课程标准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6.3.3.9.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校企联合开发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门核心课程标准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6.2.3.3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建立专业认证培训与考核制度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6.2.3.3.3.2021-2022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年计算机网络技术专业认证考核计划；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6.2.3.3.4.2021-2022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年计算机网络技术专业“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1+X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”考核材料；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6.2.3.3.5.2021-2023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年计算机网络技术专业中级证书考证材料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6.2.3.3.6. 2021-2022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年企业考核与第三方评价材料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6.2.3.3.7. 2021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应届毕业生双证书获取率情况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6.2.3.2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校企共建专业课程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6.2.3.1.7.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计算机网络技术专业课程设置与企业要求对接材料</w:t>
            </w:r>
          </w:p>
          <w:p w:rsidR="00E13A67" w:rsidRDefault="001576A2">
            <w:pPr>
              <w:spacing w:line="276" w:lineRule="auto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6.2.3.1.8.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企业标准与技能证书融通材料</w:t>
            </w:r>
          </w:p>
          <w:p w:rsidR="00B76D15" w:rsidRDefault="00B76D15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B76D15">
              <w:rPr>
                <w:rFonts w:ascii="宋体" w:eastAsia="宋体" w:hAnsi="宋体"/>
                <w:kern w:val="0"/>
                <w:sz w:val="21"/>
                <w:szCs w:val="21"/>
              </w:rPr>
              <w:t>6.2.3.1.9.</w:t>
            </w:r>
            <w:r w:rsidRPr="00B76D15">
              <w:rPr>
                <w:rFonts w:ascii="宋体" w:eastAsia="宋体" w:hAnsi="宋体" w:hint="eastAsia"/>
                <w:kern w:val="0"/>
                <w:sz w:val="21"/>
                <w:szCs w:val="21"/>
              </w:rPr>
              <w:t>计算机网络技术专业《网络系统软件应用与维护》</w:t>
            </w:r>
            <w:r w:rsidRPr="00B76D15">
              <w:rPr>
                <w:rFonts w:ascii="宋体" w:eastAsia="宋体" w:hAnsi="宋体"/>
                <w:kern w:val="0"/>
                <w:sz w:val="21"/>
                <w:szCs w:val="21"/>
              </w:rPr>
              <w:t>1+X</w:t>
            </w:r>
            <w:r w:rsidRPr="00B76D15">
              <w:rPr>
                <w:rFonts w:ascii="宋体" w:eastAsia="宋体" w:hAnsi="宋体" w:hint="eastAsia"/>
                <w:kern w:val="0"/>
                <w:sz w:val="21"/>
                <w:szCs w:val="21"/>
              </w:rPr>
              <w:t>证书融通材料</w:t>
            </w:r>
          </w:p>
        </w:tc>
      </w:tr>
    </w:tbl>
    <w:p w:rsidR="00E13A67" w:rsidRDefault="00E13A67"/>
    <w:sectPr w:rsidR="00E13A67">
      <w:headerReference w:type="default" r:id="rId7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76A2" w:rsidRDefault="001576A2">
      <w:r>
        <w:separator/>
      </w:r>
    </w:p>
  </w:endnote>
  <w:endnote w:type="continuationSeparator" w:id="0">
    <w:p w:rsidR="001576A2" w:rsidRDefault="0015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粗黑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76A2" w:rsidRDefault="001576A2">
      <w:r>
        <w:separator/>
      </w:r>
    </w:p>
  </w:footnote>
  <w:footnote w:type="continuationSeparator" w:id="0">
    <w:p w:rsidR="001576A2" w:rsidRDefault="0015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3A67" w:rsidRDefault="001576A2">
    <w:pPr>
      <w:pStyle w:val="a5"/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4491355</wp:posOffset>
              </wp:positionH>
              <wp:positionV relativeFrom="paragraph">
                <wp:posOffset>-10795</wp:posOffset>
              </wp:positionV>
              <wp:extent cx="1969770" cy="220980"/>
              <wp:effectExtent l="0" t="0" r="11430" b="762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22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13A67" w:rsidRDefault="001576A2">
                          <w:pPr>
                            <w:ind w:right="180"/>
                            <w:jc w:val="right"/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计算机网络专业双精准材料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53.65pt;margin-top:-.85pt;width:155.1pt;height:1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" stroked="f">
              <v:textbox>
                <w:txbxContent>
                  <w:p w:rsidR="00E13A67" w:rsidRDefault="001576A2">
                    <w:pPr>
                      <w:ind w:right="180"/>
                      <w:jc w:val="right"/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计算机网络专业双精准材料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-89535</wp:posOffset>
          </wp:positionV>
          <wp:extent cx="2592070" cy="305435"/>
          <wp:effectExtent l="0" t="0" r="17780" b="18415"/>
          <wp:wrapNone/>
          <wp:docPr id="1" name="图片 1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华材标志（091208）-曲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13A67" w:rsidRDefault="00E13A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4ZWIwNjlhMWYxNDI5NTQ4YTM1OTI0OTFkMzFkN2YifQ=="/>
  </w:docVars>
  <w:rsids>
    <w:rsidRoot w:val="00012951"/>
    <w:rsid w:val="DFFF2420"/>
    <w:rsid w:val="00012951"/>
    <w:rsid w:val="000167AC"/>
    <w:rsid w:val="000B3D42"/>
    <w:rsid w:val="000F49EE"/>
    <w:rsid w:val="001576A2"/>
    <w:rsid w:val="001B5BAD"/>
    <w:rsid w:val="001C2189"/>
    <w:rsid w:val="001E325F"/>
    <w:rsid w:val="001F3FB7"/>
    <w:rsid w:val="002339B9"/>
    <w:rsid w:val="002E228D"/>
    <w:rsid w:val="00306BE6"/>
    <w:rsid w:val="00377B3D"/>
    <w:rsid w:val="00390A3A"/>
    <w:rsid w:val="003B4891"/>
    <w:rsid w:val="003F1AA7"/>
    <w:rsid w:val="003F505B"/>
    <w:rsid w:val="00446467"/>
    <w:rsid w:val="00462F4C"/>
    <w:rsid w:val="005B6BDC"/>
    <w:rsid w:val="005F5E1C"/>
    <w:rsid w:val="00620241"/>
    <w:rsid w:val="0065349E"/>
    <w:rsid w:val="00686C58"/>
    <w:rsid w:val="006B6CA4"/>
    <w:rsid w:val="007065CB"/>
    <w:rsid w:val="0072172F"/>
    <w:rsid w:val="007509F6"/>
    <w:rsid w:val="0075454E"/>
    <w:rsid w:val="00763B2D"/>
    <w:rsid w:val="007D501F"/>
    <w:rsid w:val="008509AE"/>
    <w:rsid w:val="00877C44"/>
    <w:rsid w:val="008D4D99"/>
    <w:rsid w:val="00996D23"/>
    <w:rsid w:val="009A2627"/>
    <w:rsid w:val="009D2D79"/>
    <w:rsid w:val="00AB4ADD"/>
    <w:rsid w:val="00AD6349"/>
    <w:rsid w:val="00AE200D"/>
    <w:rsid w:val="00AE7E8F"/>
    <w:rsid w:val="00B37B94"/>
    <w:rsid w:val="00B76D15"/>
    <w:rsid w:val="00B84967"/>
    <w:rsid w:val="00BF2E9E"/>
    <w:rsid w:val="00C33EBE"/>
    <w:rsid w:val="00C43D76"/>
    <w:rsid w:val="00C56317"/>
    <w:rsid w:val="00C5796D"/>
    <w:rsid w:val="00D43564"/>
    <w:rsid w:val="00D80F44"/>
    <w:rsid w:val="00E06AA0"/>
    <w:rsid w:val="00E13A67"/>
    <w:rsid w:val="00E538E9"/>
    <w:rsid w:val="00FA72B3"/>
    <w:rsid w:val="052A5CC9"/>
    <w:rsid w:val="0D904191"/>
    <w:rsid w:val="0F1344E1"/>
    <w:rsid w:val="14B0612A"/>
    <w:rsid w:val="2175779A"/>
    <w:rsid w:val="2E144FCB"/>
    <w:rsid w:val="34833930"/>
    <w:rsid w:val="388F35D0"/>
    <w:rsid w:val="3BFF52FE"/>
    <w:rsid w:val="405B7CBB"/>
    <w:rsid w:val="40F62704"/>
    <w:rsid w:val="47DE253D"/>
    <w:rsid w:val="490107BF"/>
    <w:rsid w:val="49A3099C"/>
    <w:rsid w:val="4B7A56FD"/>
    <w:rsid w:val="5C4FD767"/>
    <w:rsid w:val="5EF51CE3"/>
    <w:rsid w:val="5F286C23"/>
    <w:rsid w:val="5FEA19ED"/>
    <w:rsid w:val="643936E3"/>
    <w:rsid w:val="67D54704"/>
    <w:rsid w:val="6B2A277C"/>
    <w:rsid w:val="70BE327E"/>
    <w:rsid w:val="70E65182"/>
    <w:rsid w:val="70F76C5D"/>
    <w:rsid w:val="736B7DC1"/>
    <w:rsid w:val="737F46B5"/>
    <w:rsid w:val="74446A7C"/>
    <w:rsid w:val="76F971CC"/>
    <w:rsid w:val="776FF01D"/>
    <w:rsid w:val="7D276C58"/>
    <w:rsid w:val="7D521F9E"/>
    <w:rsid w:val="7F7B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1ACEB"/>
  <w15:docId w15:val="{1BB56FB7-4D11-4F14-A39A-255E2C28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1"/>
    <w:autoRedefine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autoRedefine/>
    <w:uiPriority w:val="9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admin</cp:lastModifiedBy>
  <cp:revision>4</cp:revision>
  <dcterms:created xsi:type="dcterms:W3CDTF">2021-07-30T14:27:00Z</dcterms:created>
  <dcterms:modified xsi:type="dcterms:W3CDTF">2024-12-05T03:06:00Z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206207459_btnclosed</vt:lpwstr>
  </property>
  <property fmtid="{D5CDD505-2E9C-101B-9397-08002B2CF9AE}" pid="3" name="KSOProductBuildVer">
    <vt:lpwstr>2052-12.1.0.16729</vt:lpwstr>
  </property>
  <property fmtid="{D5CDD505-2E9C-101B-9397-08002B2CF9AE}" pid="4" name="ICV">
    <vt:lpwstr>D44AC4CEFF70481CA70DD517C1481A2F</vt:lpwstr>
  </property>
</Properties>
</file>