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59521">
      <w:pPr>
        <w:pStyle w:val="2"/>
        <w:spacing w:before="172" w:line="219" w:lineRule="auto"/>
        <w:ind w:left="1142"/>
        <w:outlineLvl w:val="0"/>
        <w:rPr>
          <w:sz w:val="30"/>
          <w:szCs w:val="30"/>
        </w:rPr>
      </w:pPr>
      <w:r>
        <w:rPr>
          <w:rFonts w:ascii="Calibri" w:hAnsi="Calibri" w:eastAsia="Calibri" w:cs="Calibri"/>
          <w:spacing w:val="-2"/>
          <w:sz w:val="30"/>
          <w:szCs w:val="30"/>
        </w:rPr>
        <w:t>2019</w:t>
      </w:r>
      <w:r>
        <w:rPr>
          <w:rFonts w:ascii="Calibri" w:hAnsi="Calibri" w:eastAsia="Calibri" w:cs="Calibri"/>
          <w:spacing w:val="31"/>
          <w:w w:val="101"/>
          <w:sz w:val="30"/>
          <w:szCs w:val="30"/>
        </w:rPr>
        <w:t xml:space="preserve"> </w:t>
      </w:r>
      <w:r>
        <w:rPr>
          <w:spacing w:val="-2"/>
          <w:sz w:val="30"/>
          <w:szCs w:val="30"/>
        </w:rPr>
        <w:t>佛山市会计专业第三方考核结果反馈分析</w:t>
      </w:r>
    </w:p>
    <w:p w14:paraId="5E9E763D">
      <w:pPr>
        <w:pStyle w:val="2"/>
        <w:spacing w:before="142" w:line="236" w:lineRule="auto"/>
        <w:ind w:left="22" w:right="13" w:firstLine="689"/>
        <w:jc w:val="both"/>
      </w:pPr>
      <w:r>
        <w:t>根据</w:t>
      </w:r>
      <w:r>
        <w:rPr>
          <w:spacing w:val="-31"/>
        </w:rPr>
        <w:t xml:space="preserve"> </w:t>
      </w:r>
      <w:r>
        <w:rPr>
          <w:rFonts w:ascii="Calibri" w:hAnsi="Calibri" w:eastAsia="Calibri" w:cs="Calibri"/>
        </w:rPr>
        <w:t>2019</w:t>
      </w:r>
      <w:r>
        <w:rPr>
          <w:rFonts w:ascii="Calibri" w:hAnsi="Calibri" w:eastAsia="Calibri" w:cs="Calibri"/>
          <w:spacing w:val="17"/>
        </w:rPr>
        <w:t xml:space="preserve"> </w:t>
      </w:r>
      <w:r>
        <w:t xml:space="preserve">年会计专业参加佛山市中职学校会计专业人才培养质量第三方 </w:t>
      </w:r>
      <w:r>
        <w:rPr>
          <w:spacing w:val="-3"/>
        </w:rPr>
        <w:t>考核结果，分析我校会计专业与全市其他几所中职会计专业和企业人员的优劣差</w:t>
      </w:r>
      <w:r>
        <w:rPr>
          <w:spacing w:val="1"/>
        </w:rPr>
        <w:t xml:space="preserve"> </w:t>
      </w:r>
      <w:bookmarkStart w:id="0" w:name="_GoBack"/>
      <w:bookmarkEnd w:id="0"/>
      <w:r>
        <w:rPr>
          <w:spacing w:val="-5"/>
        </w:rPr>
        <w:t>距：</w:t>
      </w:r>
    </w:p>
    <w:p w14:paraId="06ECB019">
      <w:pPr>
        <w:pStyle w:val="2"/>
        <w:spacing w:before="14" w:line="221" w:lineRule="auto"/>
        <w:ind w:left="34"/>
      </w:pPr>
      <w:r>
        <w:rPr>
          <w:rFonts w:ascii="Calibri" w:hAnsi="Calibri" w:eastAsia="Calibri" w:cs="Calibri"/>
          <w:spacing w:val="-6"/>
        </w:rPr>
        <w:t>1</w:t>
      </w:r>
      <w:r>
        <w:rPr>
          <w:rFonts w:ascii="Calibri" w:hAnsi="Calibri" w:eastAsia="Calibri" w:cs="Calibri"/>
          <w:spacing w:val="-24"/>
        </w:rPr>
        <w:t xml:space="preserve"> </w:t>
      </w:r>
      <w:r>
        <w:rPr>
          <w:spacing w:val="-6"/>
        </w:rPr>
        <w:t>、参与人员情况：</w:t>
      </w:r>
    </w:p>
    <w:p w14:paraId="589647E4">
      <w:pPr>
        <w:pStyle w:val="2"/>
        <w:spacing w:before="24" w:line="230" w:lineRule="auto"/>
        <w:ind w:left="24" w:right="11" w:firstLine="359"/>
      </w:pPr>
      <w:r>
        <w:rPr>
          <w:spacing w:val="-3"/>
        </w:rPr>
        <w:t>全市共</w:t>
      </w:r>
      <w:r>
        <w:rPr>
          <w:spacing w:val="-41"/>
        </w:rPr>
        <w:t xml:space="preserve"> </w:t>
      </w:r>
      <w:r>
        <w:rPr>
          <w:rFonts w:ascii="Calibri" w:hAnsi="Calibri" w:eastAsia="Calibri" w:cs="Calibri"/>
          <w:spacing w:val="-3"/>
        </w:rPr>
        <w:t>7</w:t>
      </w:r>
      <w:r>
        <w:rPr>
          <w:rFonts w:ascii="Calibri" w:hAnsi="Calibri" w:eastAsia="Calibri" w:cs="Calibri"/>
          <w:spacing w:val="19"/>
        </w:rPr>
        <w:t xml:space="preserve"> </w:t>
      </w:r>
      <w:r>
        <w:rPr>
          <w:spacing w:val="-3"/>
        </w:rPr>
        <w:t>所中职学校，共</w:t>
      </w:r>
      <w:r>
        <w:rPr>
          <w:spacing w:val="-40"/>
        </w:rPr>
        <w:t xml:space="preserve"> </w:t>
      </w:r>
      <w:r>
        <w:rPr>
          <w:rFonts w:ascii="Calibri" w:hAnsi="Calibri" w:eastAsia="Calibri" w:cs="Calibri"/>
          <w:spacing w:val="-3"/>
        </w:rPr>
        <w:t>181</w:t>
      </w:r>
      <w:r>
        <w:rPr>
          <w:rFonts w:ascii="Calibri" w:hAnsi="Calibri" w:eastAsia="Calibri" w:cs="Calibri"/>
          <w:spacing w:val="14"/>
        </w:rPr>
        <w:t xml:space="preserve"> </w:t>
      </w:r>
      <w:r>
        <w:rPr>
          <w:spacing w:val="-3"/>
        </w:rPr>
        <w:t>位学生，以及</w:t>
      </w:r>
      <w:r>
        <w:rPr>
          <w:spacing w:val="-44"/>
        </w:rPr>
        <w:t xml:space="preserve"> </w:t>
      </w:r>
      <w:r>
        <w:rPr>
          <w:rFonts w:ascii="Calibri" w:hAnsi="Calibri" w:eastAsia="Calibri" w:cs="Calibri"/>
          <w:spacing w:val="-3"/>
        </w:rPr>
        <w:t>20</w:t>
      </w:r>
      <w:r>
        <w:rPr>
          <w:rFonts w:ascii="Calibri" w:hAnsi="Calibri" w:eastAsia="Calibri" w:cs="Calibri"/>
          <w:spacing w:val="18"/>
        </w:rPr>
        <w:t xml:space="preserve"> </w:t>
      </w:r>
      <w:r>
        <w:rPr>
          <w:spacing w:val="-3"/>
        </w:rPr>
        <w:t>家企业共</w:t>
      </w:r>
      <w:r>
        <w:rPr>
          <w:spacing w:val="-47"/>
        </w:rPr>
        <w:t xml:space="preserve"> </w:t>
      </w:r>
      <w:r>
        <w:rPr>
          <w:rFonts w:ascii="Calibri" w:hAnsi="Calibri" w:eastAsia="Calibri" w:cs="Calibri"/>
          <w:spacing w:val="-3"/>
        </w:rPr>
        <w:t>24</w:t>
      </w:r>
      <w:r>
        <w:rPr>
          <w:rFonts w:ascii="Calibri" w:hAnsi="Calibri" w:eastAsia="Calibri" w:cs="Calibri"/>
          <w:spacing w:val="14"/>
        </w:rPr>
        <w:t xml:space="preserve"> </w:t>
      </w:r>
      <w:r>
        <w:rPr>
          <w:spacing w:val="-3"/>
        </w:rPr>
        <w:t>位财务人员参加</w:t>
      </w:r>
      <w:r>
        <w:t xml:space="preserve"> </w:t>
      </w:r>
      <w:r>
        <w:rPr>
          <w:spacing w:val="-3"/>
        </w:rPr>
        <w:t>本次考核。</w:t>
      </w:r>
    </w:p>
    <w:p w14:paraId="288C4B94">
      <w:pPr>
        <w:pStyle w:val="2"/>
        <w:spacing w:before="26" w:line="195" w:lineRule="auto"/>
        <w:ind w:left="27"/>
      </w:pPr>
      <w:r>
        <w:rPr>
          <w:rFonts w:ascii="Calibri" w:hAnsi="Calibri" w:eastAsia="Calibri" w:cs="Calibri"/>
          <w:spacing w:val="-3"/>
        </w:rPr>
        <w:t>2.</w:t>
      </w:r>
      <w:r>
        <w:rPr>
          <w:rFonts w:ascii="Calibri" w:hAnsi="Calibri" w:eastAsia="Calibri" w:cs="Calibri"/>
          <w:spacing w:val="18"/>
        </w:rPr>
        <w:t xml:space="preserve">  </w:t>
      </w:r>
      <w:r>
        <w:rPr>
          <w:spacing w:val="-3"/>
        </w:rPr>
        <w:t>总体平均分分布：</w:t>
      </w:r>
    </w:p>
    <w:p w14:paraId="2DE5F269">
      <w:pPr>
        <w:spacing w:line="4395" w:lineRule="exact"/>
        <w:ind w:firstLine="123"/>
      </w:pPr>
      <w:r>
        <w:rPr>
          <w:position w:val="-87"/>
        </w:rPr>
        <w:drawing>
          <wp:inline distT="0" distB="0" distL="0" distR="0">
            <wp:extent cx="4619625" cy="27908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4619625" cy="2790825"/>
                    </a:xfrm>
                    <a:prstGeom prst="rect">
                      <a:avLst/>
                    </a:prstGeom>
                  </pic:spPr>
                </pic:pic>
              </a:graphicData>
            </a:graphic>
          </wp:inline>
        </w:drawing>
      </w:r>
    </w:p>
    <w:p w14:paraId="65BD6479">
      <w:pPr>
        <w:spacing w:line="264" w:lineRule="auto"/>
        <w:rPr>
          <w:rFonts w:ascii="Arial"/>
          <w:sz w:val="21"/>
        </w:rPr>
      </w:pPr>
    </w:p>
    <w:p w14:paraId="2E5BA061">
      <w:pPr>
        <w:pStyle w:val="2"/>
        <w:spacing w:before="78" w:line="236" w:lineRule="auto"/>
        <w:ind w:left="22" w:right="13" w:firstLine="423"/>
        <w:jc w:val="both"/>
      </w:pPr>
      <w:r>
        <w:rPr>
          <w:spacing w:val="-1"/>
        </w:rPr>
        <w:t>分析：八所中职总体得分低于企业财务人员</w:t>
      </w:r>
      <w:r>
        <w:rPr>
          <w:spacing w:val="-2"/>
        </w:rPr>
        <w:t>，但是与企业分差不大。各校之</w:t>
      </w:r>
      <w:r>
        <w:t xml:space="preserve"> </w:t>
      </w:r>
      <w:r>
        <w:rPr>
          <w:spacing w:val="-4"/>
        </w:rPr>
        <w:t>间差距不大，体现办学水平整体较均衡。我校得分在</w:t>
      </w:r>
      <w:r>
        <w:rPr>
          <w:spacing w:val="-36"/>
        </w:rPr>
        <w:t xml:space="preserve"> </w:t>
      </w:r>
      <w:r>
        <w:rPr>
          <w:rFonts w:ascii="Calibri" w:hAnsi="Calibri" w:eastAsia="Calibri" w:cs="Calibri"/>
          <w:spacing w:val="-4"/>
        </w:rPr>
        <w:t>7</w:t>
      </w:r>
      <w:r>
        <w:rPr>
          <w:rFonts w:ascii="Calibri" w:hAnsi="Calibri" w:eastAsia="Calibri" w:cs="Calibri"/>
          <w:spacing w:val="17"/>
        </w:rPr>
        <w:t xml:space="preserve"> </w:t>
      </w:r>
      <w:r>
        <w:rPr>
          <w:spacing w:val="-4"/>
        </w:rPr>
        <w:t>所学校中排第四，与最高</w:t>
      </w:r>
      <w:r>
        <w:t xml:space="preserve"> </w:t>
      </w:r>
      <w:r>
        <w:rPr>
          <w:spacing w:val="1"/>
        </w:rPr>
        <w:t>分差</w:t>
      </w:r>
      <w:r>
        <w:rPr>
          <w:spacing w:val="-38"/>
        </w:rPr>
        <w:t xml:space="preserve"> </w:t>
      </w:r>
      <w:r>
        <w:rPr>
          <w:rFonts w:ascii="Calibri" w:hAnsi="Calibri" w:eastAsia="Calibri" w:cs="Calibri"/>
          <w:spacing w:val="1"/>
        </w:rPr>
        <w:t>4.49</w:t>
      </w:r>
      <w:r>
        <w:rPr>
          <w:rFonts w:ascii="Calibri" w:hAnsi="Calibri" w:eastAsia="Calibri" w:cs="Calibri"/>
          <w:spacing w:val="18"/>
          <w:w w:val="101"/>
        </w:rPr>
        <w:t xml:space="preserve"> </w:t>
      </w:r>
      <w:r>
        <w:rPr>
          <w:spacing w:val="1"/>
        </w:rPr>
        <w:t>分，说明未来有提升教学质量的需求和空间。但是我校的学生整体水</w:t>
      </w:r>
      <w:r>
        <w:t xml:space="preserve"> </w:t>
      </w:r>
      <w:r>
        <w:rPr>
          <w:spacing w:val="-3"/>
        </w:rPr>
        <w:t>平比较均衡，不合格率低于其他六所学校，这就意味着有的学校的尖子生培养力</w:t>
      </w:r>
      <w:r>
        <w:rPr>
          <w:spacing w:val="1"/>
        </w:rPr>
        <w:t xml:space="preserve"> </w:t>
      </w:r>
      <w:r>
        <w:t>度很大，在竞赛方面有优势，需要我们在技能</w:t>
      </w:r>
      <w:r>
        <w:rPr>
          <w:spacing w:val="-1"/>
        </w:rPr>
        <w:t>竞赛方面做更多工作。</w:t>
      </w:r>
    </w:p>
    <w:p w14:paraId="26444985">
      <w:pPr>
        <w:spacing w:line="258" w:lineRule="auto"/>
        <w:rPr>
          <w:rFonts w:ascii="Arial"/>
          <w:sz w:val="21"/>
        </w:rPr>
      </w:pPr>
    </w:p>
    <w:p w14:paraId="019F7482">
      <w:pPr>
        <w:pStyle w:val="2"/>
        <w:spacing w:before="78" w:line="220" w:lineRule="auto"/>
        <w:ind w:left="26"/>
      </w:pPr>
      <w:r>
        <w:rPr>
          <w:rFonts w:ascii="Calibri" w:hAnsi="Calibri" w:eastAsia="Calibri" w:cs="Calibri"/>
          <w:spacing w:val="-2"/>
        </w:rPr>
        <w:t>3.</w:t>
      </w:r>
      <w:r>
        <w:rPr>
          <w:rFonts w:ascii="Calibri" w:hAnsi="Calibri" w:eastAsia="Calibri" w:cs="Calibri"/>
          <w:spacing w:val="15"/>
        </w:rPr>
        <w:t xml:space="preserve">  </w:t>
      </w:r>
      <w:r>
        <w:rPr>
          <w:spacing w:val="-2"/>
        </w:rPr>
        <w:t>职业素养成绩对比：</w:t>
      </w:r>
    </w:p>
    <w:p w14:paraId="69E8CA67">
      <w:pPr>
        <w:spacing w:line="220" w:lineRule="auto"/>
        <w:sectPr>
          <w:headerReference r:id="rId5" w:type="default"/>
          <w:footerReference r:id="rId6" w:type="default"/>
          <w:pgSz w:w="11906" w:h="16839"/>
          <w:pgMar w:top="1431" w:right="1785" w:bottom="1377" w:left="1785" w:header="850" w:footer="964" w:gutter="0"/>
          <w:cols w:space="720" w:num="1"/>
        </w:sectPr>
      </w:pPr>
    </w:p>
    <w:p w14:paraId="70CA69B0">
      <w:pPr>
        <w:spacing w:line="4395" w:lineRule="exact"/>
        <w:ind w:firstLine="223"/>
      </w:pPr>
      <w:r>
        <w:rPr>
          <w:position w:val="-87"/>
        </w:rPr>
        <w:drawing>
          <wp:inline distT="0" distB="0" distL="0" distR="0">
            <wp:extent cx="4619625" cy="27908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4619625" cy="2790825"/>
                    </a:xfrm>
                    <a:prstGeom prst="rect">
                      <a:avLst/>
                    </a:prstGeom>
                  </pic:spPr>
                </pic:pic>
              </a:graphicData>
            </a:graphic>
          </wp:inline>
        </w:drawing>
      </w:r>
    </w:p>
    <w:p w14:paraId="0623AFA3">
      <w:pPr>
        <w:spacing w:line="261" w:lineRule="auto"/>
        <w:rPr>
          <w:rFonts w:ascii="Arial"/>
          <w:sz w:val="21"/>
        </w:rPr>
      </w:pPr>
    </w:p>
    <w:p w14:paraId="4963C7FA">
      <w:pPr>
        <w:pStyle w:val="2"/>
        <w:spacing w:before="78" w:line="237" w:lineRule="auto"/>
        <w:ind w:left="22" w:right="13" w:firstLine="229"/>
        <w:jc w:val="both"/>
      </w:pPr>
      <w:r>
        <w:rPr>
          <w:spacing w:val="-3"/>
        </w:rPr>
        <w:t>分析：职业素养模块我校成绩排第二，也高于企业平均分。说明在法律法规和</w:t>
      </w:r>
      <w:r>
        <w:rPr>
          <w:spacing w:val="9"/>
        </w:rPr>
        <w:t xml:space="preserve"> </w:t>
      </w:r>
      <w:r>
        <w:rPr>
          <w:spacing w:val="-3"/>
        </w:rPr>
        <w:t>职业道德方面的教学基础较好。职业素养是企业比较注重的一个模块，涉及到财</w:t>
      </w:r>
      <w:r>
        <w:rPr>
          <w:spacing w:val="1"/>
        </w:rPr>
        <w:t xml:space="preserve"> </w:t>
      </w:r>
      <w:r>
        <w:rPr>
          <w:spacing w:val="-3"/>
        </w:rPr>
        <w:t>务人员的职业道德、法规知识基础，也是学生后续职业生涯发展、晋升的必备条</w:t>
      </w:r>
      <w:r>
        <w:rPr>
          <w:spacing w:val="1"/>
        </w:rPr>
        <w:t xml:space="preserve"> </w:t>
      </w:r>
      <w:r>
        <w:rPr>
          <w:spacing w:val="-3"/>
        </w:rPr>
        <w:t>件之一。对教师的专业知识背景也有较高要求，对相应课程教师提出应加强继续</w:t>
      </w:r>
      <w:r>
        <w:rPr>
          <w:spacing w:val="1"/>
        </w:rPr>
        <w:t xml:space="preserve"> </w:t>
      </w:r>
      <w:r>
        <w:rPr>
          <w:spacing w:val="-3"/>
        </w:rPr>
        <w:t>教育，保持不断更新知识的学习作风。对于教学，应推进教法改革，增强学生学</w:t>
      </w:r>
      <w:r>
        <w:rPr>
          <w:spacing w:val="1"/>
        </w:rPr>
        <w:t xml:space="preserve"> </w:t>
      </w:r>
      <w:r>
        <w:rPr>
          <w:spacing w:val="-1"/>
        </w:rPr>
        <w:t>习的兴趣，拓展学习的深度和广度，培养学生可持续发展能力。</w:t>
      </w:r>
    </w:p>
    <w:p w14:paraId="0A62334B">
      <w:pPr>
        <w:spacing w:line="258" w:lineRule="auto"/>
        <w:rPr>
          <w:rFonts w:ascii="Arial"/>
          <w:sz w:val="21"/>
        </w:rPr>
      </w:pPr>
    </w:p>
    <w:p w14:paraId="59C50779">
      <w:pPr>
        <w:pStyle w:val="2"/>
        <w:spacing w:before="78" w:line="195" w:lineRule="auto"/>
        <w:ind w:left="19"/>
      </w:pPr>
      <w:r>
        <w:rPr>
          <w:rFonts w:ascii="Calibri" w:hAnsi="Calibri" w:eastAsia="Calibri" w:cs="Calibri"/>
          <w:spacing w:val="-2"/>
        </w:rPr>
        <w:t>4.</w:t>
      </w:r>
      <w:r>
        <w:rPr>
          <w:rFonts w:ascii="Calibri" w:hAnsi="Calibri" w:eastAsia="Calibri" w:cs="Calibri"/>
          <w:spacing w:val="18"/>
        </w:rPr>
        <w:t xml:space="preserve">  </w:t>
      </w:r>
      <w:r>
        <w:rPr>
          <w:spacing w:val="-2"/>
        </w:rPr>
        <w:t>票据应用成绩对比：</w:t>
      </w:r>
    </w:p>
    <w:p w14:paraId="2EB9C4FF">
      <w:pPr>
        <w:spacing w:line="4395" w:lineRule="exact"/>
        <w:ind w:firstLine="223"/>
      </w:pPr>
      <w:r>
        <w:rPr>
          <w:position w:val="-87"/>
        </w:rPr>
        <w:drawing>
          <wp:inline distT="0" distB="0" distL="0" distR="0">
            <wp:extent cx="4619625" cy="27908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4619625" cy="2790825"/>
                    </a:xfrm>
                    <a:prstGeom prst="rect">
                      <a:avLst/>
                    </a:prstGeom>
                  </pic:spPr>
                </pic:pic>
              </a:graphicData>
            </a:graphic>
          </wp:inline>
        </w:drawing>
      </w:r>
    </w:p>
    <w:p w14:paraId="15219F80">
      <w:pPr>
        <w:spacing w:line="263" w:lineRule="auto"/>
        <w:rPr>
          <w:rFonts w:ascii="Arial"/>
          <w:sz w:val="21"/>
        </w:rPr>
      </w:pPr>
    </w:p>
    <w:p w14:paraId="317D9068">
      <w:pPr>
        <w:pStyle w:val="2"/>
        <w:spacing w:before="78" w:line="233" w:lineRule="auto"/>
        <w:ind w:left="22" w:right="13" w:firstLine="123"/>
        <w:jc w:val="both"/>
      </w:pPr>
      <w:r>
        <w:t>分析：票据填写模块我校平均得分排第五，略低于企业平均得分。说明在实训</w:t>
      </w:r>
      <w:r>
        <w:rPr>
          <w:spacing w:val="13"/>
        </w:rPr>
        <w:t xml:space="preserve"> </w:t>
      </w:r>
      <w:r>
        <w:rPr>
          <w:spacing w:val="-3"/>
        </w:rPr>
        <w:t>课环节我校有较大改善需求。需要在专业课程中贯穿、落实实训项目的开出率和</w:t>
      </w:r>
      <w:r>
        <w:rPr>
          <w:spacing w:val="1"/>
        </w:rPr>
        <w:t xml:space="preserve"> </w:t>
      </w:r>
      <w:r>
        <w:rPr>
          <w:spacing w:val="-1"/>
        </w:rPr>
        <w:t>开出质量。在教材、教学平台、教学评价方面都需要推动改革。</w:t>
      </w:r>
    </w:p>
    <w:p w14:paraId="0EB15B8F">
      <w:pPr>
        <w:spacing w:line="260" w:lineRule="auto"/>
        <w:rPr>
          <w:rFonts w:ascii="Arial"/>
          <w:sz w:val="21"/>
        </w:rPr>
      </w:pPr>
    </w:p>
    <w:p w14:paraId="49EAE05D">
      <w:pPr>
        <w:pStyle w:val="2"/>
        <w:spacing w:before="78" w:line="219" w:lineRule="auto"/>
        <w:ind w:left="25"/>
      </w:pPr>
      <w:r>
        <w:rPr>
          <w:rFonts w:ascii="Calibri" w:hAnsi="Calibri" w:eastAsia="Calibri" w:cs="Calibri"/>
          <w:spacing w:val="-2"/>
        </w:rPr>
        <w:t>5.</w:t>
      </w:r>
      <w:r>
        <w:rPr>
          <w:rFonts w:ascii="Calibri" w:hAnsi="Calibri" w:eastAsia="Calibri" w:cs="Calibri"/>
          <w:spacing w:val="16"/>
        </w:rPr>
        <w:t xml:space="preserve">  </w:t>
      </w:r>
      <w:r>
        <w:rPr>
          <w:spacing w:val="-2"/>
        </w:rPr>
        <w:t>会计电算化成绩对比：</w:t>
      </w:r>
    </w:p>
    <w:p w14:paraId="40F1F9BB">
      <w:pPr>
        <w:spacing w:line="219" w:lineRule="auto"/>
        <w:sectPr>
          <w:footerReference r:id="rId7" w:type="default"/>
          <w:pgSz w:w="11906" w:h="16839"/>
          <w:pgMar w:top="1418" w:right="1785" w:bottom="1378" w:left="1785" w:header="0" w:footer="1212" w:gutter="0"/>
          <w:cols w:space="720" w:num="1"/>
        </w:sectPr>
      </w:pPr>
    </w:p>
    <w:p w14:paraId="500480D3">
      <w:pPr>
        <w:spacing w:line="4395" w:lineRule="exact"/>
        <w:ind w:firstLine="223"/>
      </w:pPr>
      <w:r>
        <w:rPr>
          <w:position w:val="-87"/>
        </w:rPr>
        <w:drawing>
          <wp:inline distT="0" distB="0" distL="0" distR="0">
            <wp:extent cx="4619625" cy="27908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4619625" cy="2790825"/>
                    </a:xfrm>
                    <a:prstGeom prst="rect">
                      <a:avLst/>
                    </a:prstGeom>
                  </pic:spPr>
                </pic:pic>
              </a:graphicData>
            </a:graphic>
          </wp:inline>
        </w:drawing>
      </w:r>
    </w:p>
    <w:p w14:paraId="0303C188">
      <w:pPr>
        <w:spacing w:line="264" w:lineRule="auto"/>
        <w:rPr>
          <w:rFonts w:ascii="Arial"/>
          <w:sz w:val="21"/>
        </w:rPr>
      </w:pPr>
    </w:p>
    <w:p w14:paraId="7A3A90D8">
      <w:pPr>
        <w:pStyle w:val="2"/>
        <w:spacing w:before="78" w:line="236" w:lineRule="auto"/>
        <w:ind w:left="22" w:right="43" w:firstLine="109"/>
        <w:jc w:val="both"/>
      </w:pPr>
      <w:r>
        <w:rPr>
          <w:spacing w:val="1"/>
        </w:rPr>
        <w:t>分析：会计电算化模块我校平均得分排第四，与企业人员相比</w:t>
      </w:r>
      <w:r>
        <w:t xml:space="preserve">有一定差距，有 </w:t>
      </w:r>
      <w:r>
        <w:rPr>
          <w:spacing w:val="-3"/>
        </w:rPr>
        <w:t>一所中职的电算水平超过企业平均。我校与第一名存在较明显差距，说明电算课</w:t>
      </w:r>
      <w:r>
        <w:rPr>
          <w:spacing w:val="1"/>
        </w:rPr>
        <w:t xml:space="preserve"> </w:t>
      </w:r>
      <w:r>
        <w:rPr>
          <w:spacing w:val="-3"/>
        </w:rPr>
        <w:t>程质量有待提高。</w:t>
      </w:r>
      <w:r>
        <w:rPr>
          <w:spacing w:val="-65"/>
        </w:rPr>
        <w:t xml:space="preserve"> </w:t>
      </w:r>
      <w:r>
        <w:rPr>
          <w:spacing w:val="-3"/>
        </w:rPr>
        <w:t>目前，专业电算老师教缺</w:t>
      </w:r>
      <w:r>
        <w:rPr>
          <w:spacing w:val="-4"/>
        </w:rPr>
        <w:t>，需要提高专业整体教师电算水平，</w:t>
      </w:r>
      <w:r>
        <w:t xml:space="preserve"> </w:t>
      </w:r>
      <w:r>
        <w:rPr>
          <w:spacing w:val="-2"/>
        </w:rPr>
        <w:t>增加可教电算课程的老师数量，需要加强教师培训。其次，需要优化课程结构，</w:t>
      </w:r>
      <w:r>
        <w:rPr>
          <w:spacing w:val="4"/>
        </w:rPr>
        <w:t xml:space="preserve"> </w:t>
      </w:r>
      <w:r>
        <w:rPr>
          <w:spacing w:val="-1"/>
        </w:rPr>
        <w:t>增加电算课的课时。</w:t>
      </w:r>
    </w:p>
    <w:p w14:paraId="2322879C">
      <w:pPr>
        <w:spacing w:line="257" w:lineRule="auto"/>
        <w:rPr>
          <w:rFonts w:ascii="Arial"/>
          <w:sz w:val="21"/>
        </w:rPr>
      </w:pPr>
    </w:p>
    <w:p w14:paraId="18E351ED">
      <w:pPr>
        <w:pStyle w:val="2"/>
        <w:spacing w:before="78" w:line="230" w:lineRule="auto"/>
        <w:ind w:left="34" w:right="526" w:hanging="5"/>
      </w:pPr>
      <w:r>
        <w:rPr>
          <w:spacing w:val="-2"/>
        </w:rPr>
        <w:t>结论：根据第三方考核结果，经教研组科组活动讨</w:t>
      </w:r>
      <w:r>
        <w:rPr>
          <w:spacing w:val="-3"/>
        </w:rPr>
        <w:t>论，提出如下改进措施：</w:t>
      </w:r>
      <w:r>
        <w:t xml:space="preserve"> </w:t>
      </w:r>
      <w:r>
        <w:rPr>
          <w:rFonts w:ascii="Calibri" w:hAnsi="Calibri" w:eastAsia="Calibri" w:cs="Calibri"/>
          <w:spacing w:val="-3"/>
        </w:rPr>
        <w:t>1.</w:t>
      </w:r>
      <w:r>
        <w:rPr>
          <w:spacing w:val="-3"/>
        </w:rPr>
        <w:t>优化</w:t>
      </w:r>
      <w:r>
        <w:rPr>
          <w:spacing w:val="-44"/>
        </w:rPr>
        <w:t xml:space="preserve"> </w:t>
      </w:r>
      <w:r>
        <w:rPr>
          <w:rFonts w:ascii="Calibri" w:hAnsi="Calibri" w:eastAsia="Calibri" w:cs="Calibri"/>
          <w:spacing w:val="-3"/>
        </w:rPr>
        <w:t>2020</w:t>
      </w:r>
      <w:r>
        <w:rPr>
          <w:rFonts w:ascii="Calibri" w:hAnsi="Calibri" w:eastAsia="Calibri" w:cs="Calibri"/>
          <w:spacing w:val="14"/>
          <w:w w:val="101"/>
        </w:rPr>
        <w:t xml:space="preserve"> </w:t>
      </w:r>
      <w:r>
        <w:rPr>
          <w:spacing w:val="-3"/>
        </w:rPr>
        <w:t>年人才培养方案。</w:t>
      </w:r>
    </w:p>
    <w:p w14:paraId="48F855F4">
      <w:pPr>
        <w:pStyle w:val="2"/>
        <w:spacing w:before="25" w:line="230" w:lineRule="auto"/>
        <w:ind w:left="27" w:right="625" w:firstLine="594"/>
      </w:pPr>
      <w:r>
        <w:rPr>
          <w:spacing w:val="-2"/>
        </w:rPr>
        <w:t>在选修课中增加会计信息系统实训课程，增加电算化模块的课时量。</w:t>
      </w:r>
      <w:r>
        <w:rPr>
          <w:spacing w:val="11"/>
        </w:rPr>
        <w:t xml:space="preserve"> </w:t>
      </w:r>
      <w:r>
        <w:rPr>
          <w:rFonts w:ascii="Calibri" w:hAnsi="Calibri" w:eastAsia="Calibri" w:cs="Calibri"/>
          <w:spacing w:val="-2"/>
        </w:rPr>
        <w:t>2.</w:t>
      </w:r>
      <w:r>
        <w:rPr>
          <w:spacing w:val="-2"/>
        </w:rPr>
        <w:t>更换教材。</w:t>
      </w:r>
    </w:p>
    <w:p w14:paraId="0CC24E95">
      <w:pPr>
        <w:pStyle w:val="2"/>
        <w:spacing w:before="28" w:line="233" w:lineRule="auto"/>
        <w:ind w:left="26" w:right="80" w:firstLine="476"/>
        <w:jc w:val="both"/>
      </w:pPr>
      <w:r>
        <w:rPr>
          <w:spacing w:val="-3"/>
        </w:rPr>
        <w:t>对于基础会计、财务会计、会计综合实训等课程，均选用实训素</w:t>
      </w:r>
      <w:r>
        <w:rPr>
          <w:spacing w:val="-4"/>
        </w:rPr>
        <w:t>材比例高的</w:t>
      </w:r>
      <w:r>
        <w:t xml:space="preserve"> </w:t>
      </w:r>
      <w:r>
        <w:rPr>
          <w:spacing w:val="-3"/>
        </w:rPr>
        <w:t>教材，使课程的理实一体化程度更高，手工实操的练习在每个学期都能得到</w:t>
      </w:r>
      <w:r>
        <w:rPr>
          <w:spacing w:val="-4"/>
        </w:rPr>
        <w:t>连续</w:t>
      </w:r>
      <w:r>
        <w:t xml:space="preserve"> </w:t>
      </w:r>
      <w:r>
        <w:rPr>
          <w:spacing w:val="-4"/>
        </w:rPr>
        <w:t>不中断。</w:t>
      </w:r>
    </w:p>
    <w:p w14:paraId="01C20193">
      <w:pPr>
        <w:pStyle w:val="2"/>
        <w:spacing w:before="26" w:line="219" w:lineRule="auto"/>
        <w:ind w:left="26"/>
      </w:pPr>
      <w:r>
        <w:rPr>
          <w:rFonts w:ascii="Calibri" w:hAnsi="Calibri" w:eastAsia="Calibri" w:cs="Calibri"/>
          <w:spacing w:val="-4"/>
        </w:rPr>
        <w:t>3.</w:t>
      </w:r>
      <w:r>
        <w:rPr>
          <w:spacing w:val="-4"/>
        </w:rPr>
        <w:t>进行</w:t>
      </w:r>
      <w:r>
        <w:rPr>
          <w:spacing w:val="-36"/>
        </w:rPr>
        <w:t xml:space="preserve"> </w:t>
      </w:r>
      <w:r>
        <w:rPr>
          <w:rFonts w:ascii="Calibri" w:hAnsi="Calibri" w:eastAsia="Calibri" w:cs="Calibri"/>
          <w:spacing w:val="-4"/>
        </w:rPr>
        <w:t>1+X</w:t>
      </w:r>
      <w:r>
        <w:rPr>
          <w:rFonts w:ascii="Calibri" w:hAnsi="Calibri" w:eastAsia="Calibri" w:cs="Calibri"/>
          <w:spacing w:val="15"/>
          <w:w w:val="101"/>
        </w:rPr>
        <w:t xml:space="preserve"> </w:t>
      </w:r>
      <w:r>
        <w:rPr>
          <w:spacing w:val="-4"/>
        </w:rPr>
        <w:t>证书试点。</w:t>
      </w:r>
    </w:p>
    <w:p w14:paraId="05E25138">
      <w:pPr>
        <w:pStyle w:val="2"/>
        <w:spacing w:before="28" w:line="233" w:lineRule="auto"/>
        <w:ind w:left="23" w:right="80" w:firstLine="362"/>
        <w:jc w:val="both"/>
      </w:pPr>
      <w:r>
        <w:rPr>
          <w:spacing w:val="-1"/>
        </w:rPr>
        <w:t>教师通过师资培训提高业务水平和双师率；课程方面尝试开展</w:t>
      </w:r>
      <w:r>
        <w:rPr>
          <w:spacing w:val="-29"/>
        </w:rPr>
        <w:t xml:space="preserve"> </w:t>
      </w:r>
      <w:r>
        <w:rPr>
          <w:rFonts w:ascii="Calibri" w:hAnsi="Calibri" w:eastAsia="Calibri" w:cs="Calibri"/>
          <w:spacing w:val="-1"/>
        </w:rPr>
        <w:t>1+X</w:t>
      </w:r>
      <w:r>
        <w:rPr>
          <w:rFonts w:ascii="Calibri" w:hAnsi="Calibri" w:eastAsia="Calibri" w:cs="Calibri"/>
          <w:spacing w:val="16"/>
        </w:rPr>
        <w:t xml:space="preserve"> </w:t>
      </w:r>
      <w:r>
        <w:rPr>
          <w:spacing w:val="-1"/>
        </w:rPr>
        <w:t>证书的课</w:t>
      </w:r>
      <w:r>
        <w:t xml:space="preserve"> </w:t>
      </w:r>
      <w:r>
        <w:rPr>
          <w:spacing w:val="-3"/>
        </w:rPr>
        <w:t>证融通，将证书内容与相关课程相结合，深化课程内涵改革，引入最前沿的专业</w:t>
      </w:r>
      <w:r>
        <w:rPr>
          <w:spacing w:val="1"/>
        </w:rPr>
        <w:t xml:space="preserve"> </w:t>
      </w:r>
      <w:r>
        <w:rPr>
          <w:spacing w:val="-1"/>
        </w:rPr>
        <w:t>教学内容，提升教学质量。</w:t>
      </w:r>
    </w:p>
    <w:p w14:paraId="5FE2435C">
      <w:pPr>
        <w:pStyle w:val="2"/>
        <w:spacing w:before="26" w:line="230" w:lineRule="auto"/>
        <w:ind w:left="22" w:right="77" w:firstLine="240"/>
      </w:pPr>
      <w:r>
        <w:rPr>
          <w:spacing w:val="-4"/>
        </w:rPr>
        <w:t>采购</w:t>
      </w:r>
      <w:r>
        <w:rPr>
          <w:spacing w:val="-36"/>
        </w:rPr>
        <w:t xml:space="preserve"> </w:t>
      </w:r>
      <w:r>
        <w:rPr>
          <w:rFonts w:ascii="Calibri" w:hAnsi="Calibri" w:eastAsia="Calibri" w:cs="Calibri"/>
          <w:spacing w:val="-4"/>
        </w:rPr>
        <w:t>1+X</w:t>
      </w:r>
      <w:r>
        <w:rPr>
          <w:rFonts w:ascii="Calibri" w:hAnsi="Calibri" w:eastAsia="Calibri" w:cs="Calibri"/>
          <w:spacing w:val="15"/>
        </w:rPr>
        <w:t xml:space="preserve"> </w:t>
      </w:r>
      <w:r>
        <w:rPr>
          <w:spacing w:val="-4"/>
        </w:rPr>
        <w:t>证书技能测评平台，开展课证融通，并提高证书的通过率，详见工作</w:t>
      </w:r>
      <w:r>
        <w:t xml:space="preserve"> </w:t>
      </w:r>
      <w:r>
        <w:rPr>
          <w:spacing w:val="-4"/>
        </w:rPr>
        <w:t>任务</w:t>
      </w:r>
      <w:r>
        <w:rPr>
          <w:spacing w:val="-40"/>
        </w:rPr>
        <w:t xml:space="preserve"> </w:t>
      </w:r>
      <w:r>
        <w:rPr>
          <w:rFonts w:ascii="Calibri" w:hAnsi="Calibri" w:eastAsia="Calibri" w:cs="Calibri"/>
          <w:spacing w:val="-4"/>
        </w:rPr>
        <w:t>1-2-4</w:t>
      </w:r>
      <w:r>
        <w:rPr>
          <w:spacing w:val="-4"/>
        </w:rPr>
        <w:t>。</w:t>
      </w:r>
    </w:p>
    <w:p w14:paraId="2D001CAF">
      <w:pPr>
        <w:pStyle w:val="2"/>
        <w:spacing w:before="26" w:line="219" w:lineRule="auto"/>
        <w:ind w:left="19"/>
      </w:pPr>
      <w:r>
        <w:rPr>
          <w:rFonts w:ascii="Calibri" w:hAnsi="Calibri" w:eastAsia="Calibri" w:cs="Calibri"/>
          <w:spacing w:val="-1"/>
        </w:rPr>
        <w:t>4.</w:t>
      </w:r>
      <w:r>
        <w:rPr>
          <w:spacing w:val="-1"/>
        </w:rPr>
        <w:t>采购财务数据处理平台。</w:t>
      </w:r>
    </w:p>
    <w:p w14:paraId="5002CDA6">
      <w:pPr>
        <w:pStyle w:val="2"/>
        <w:spacing w:before="27" w:line="220" w:lineRule="auto"/>
        <w:ind w:left="503"/>
      </w:pPr>
      <w:r>
        <w:rPr>
          <w:spacing w:val="-3"/>
        </w:rPr>
        <w:t>通过平台配套的微课视频、例题、练习等教学资源保证教学效果</w:t>
      </w:r>
      <w:r>
        <w:rPr>
          <w:spacing w:val="-4"/>
        </w:rPr>
        <w:t>，训练提高</w:t>
      </w:r>
    </w:p>
    <w:p w14:paraId="005DBC11">
      <w:pPr>
        <w:pStyle w:val="2"/>
        <w:spacing w:before="26" w:line="230" w:lineRule="auto"/>
        <w:ind w:left="25" w:right="3534" w:firstLine="2"/>
      </w:pPr>
      <w:r>
        <w:rPr>
          <w:spacing w:val="-4"/>
        </w:rPr>
        <w:t>学生财务数据处理能力。详见工作任务</w:t>
      </w:r>
      <w:r>
        <w:rPr>
          <w:spacing w:val="-23"/>
        </w:rPr>
        <w:t xml:space="preserve"> </w:t>
      </w:r>
      <w:r>
        <w:rPr>
          <w:rFonts w:ascii="Calibri" w:hAnsi="Calibri" w:eastAsia="Calibri" w:cs="Calibri"/>
          <w:spacing w:val="-4"/>
        </w:rPr>
        <w:t>1-2-3</w:t>
      </w:r>
      <w:r>
        <w:rPr>
          <w:spacing w:val="-4"/>
        </w:rPr>
        <w:t>。</w:t>
      </w:r>
      <w:r>
        <w:t xml:space="preserve"> </w:t>
      </w:r>
      <w:r>
        <w:rPr>
          <w:rFonts w:ascii="Calibri" w:hAnsi="Calibri" w:eastAsia="Calibri" w:cs="Calibri"/>
          <w:spacing w:val="-1"/>
        </w:rPr>
        <w:t>5.</w:t>
      </w:r>
      <w:r>
        <w:rPr>
          <w:spacing w:val="-1"/>
        </w:rPr>
        <w:t>加强教师培训和实习。</w:t>
      </w:r>
    </w:p>
    <w:p w14:paraId="74159D86">
      <w:pPr>
        <w:pStyle w:val="2"/>
        <w:spacing w:before="25" w:line="230" w:lineRule="auto"/>
        <w:ind w:left="28" w:firstLine="474"/>
      </w:pPr>
      <w:r>
        <w:rPr>
          <w:spacing w:val="-8"/>
        </w:rPr>
        <w:t>在不影响正场教学工作的基础上，鼓励教师参加国培、省培和各类教育部门、</w:t>
      </w:r>
      <w:r>
        <w:rPr>
          <w:spacing w:val="9"/>
        </w:rPr>
        <w:t xml:space="preserve"> </w:t>
      </w:r>
      <w:r>
        <w:rPr>
          <w:spacing w:val="-1"/>
        </w:rPr>
        <w:t>学会组织的培训，了解专业最新发展动态，学习前沿的政策、法规、技术。</w:t>
      </w:r>
    </w:p>
    <w:p w14:paraId="202E56FC">
      <w:pPr>
        <w:pStyle w:val="2"/>
        <w:spacing w:before="26" w:line="230" w:lineRule="auto"/>
        <w:ind w:left="22" w:right="80" w:firstLine="481"/>
      </w:pPr>
      <w:r>
        <w:rPr>
          <w:spacing w:val="-3"/>
        </w:rPr>
        <w:t>制定计划进行教师教师轮流企业实践，学习真实的工作场景，</w:t>
      </w:r>
      <w:r>
        <w:rPr>
          <w:spacing w:val="-4"/>
        </w:rPr>
        <w:t>了解本地企业</w:t>
      </w:r>
      <w:r>
        <w:t xml:space="preserve"> </w:t>
      </w:r>
      <w:r>
        <w:rPr>
          <w:spacing w:val="-1"/>
        </w:rPr>
        <w:t>对人才的真实需求，加强教师的职业体验感和实践教学能力。</w:t>
      </w:r>
    </w:p>
    <w:p w14:paraId="5BE89B07">
      <w:pPr>
        <w:pStyle w:val="2"/>
        <w:spacing w:before="27" w:line="219" w:lineRule="auto"/>
        <w:ind w:left="26"/>
      </w:pPr>
      <w:r>
        <w:rPr>
          <w:rFonts w:ascii="Calibri" w:hAnsi="Calibri" w:eastAsia="Calibri" w:cs="Calibri"/>
          <w:spacing w:val="-1"/>
        </w:rPr>
        <w:t>6.</w:t>
      </w:r>
      <w:r>
        <w:rPr>
          <w:spacing w:val="-1"/>
        </w:rPr>
        <w:t>开展对技能课实训课的评价模式改革尝试。</w:t>
      </w:r>
    </w:p>
    <w:p w14:paraId="1E88EF9D">
      <w:pPr>
        <w:pStyle w:val="2"/>
        <w:spacing w:before="28" w:line="219" w:lineRule="auto"/>
        <w:ind w:left="508"/>
      </w:pPr>
      <w:r>
        <w:rPr>
          <w:spacing w:val="-3"/>
        </w:rPr>
        <w:t>与爱丁公司合作，首先在《职业技能》和《基础会计</w:t>
      </w:r>
      <w:r>
        <w:rPr>
          <w:spacing w:val="-4"/>
        </w:rPr>
        <w:t>》两门课程中，利用平</w:t>
      </w:r>
    </w:p>
    <w:p w14:paraId="10E4F8B3">
      <w:pPr>
        <w:spacing w:line="219" w:lineRule="auto"/>
        <w:sectPr>
          <w:footerReference r:id="rId8" w:type="default"/>
          <w:pgSz w:w="11906" w:h="16839"/>
          <w:pgMar w:top="1418" w:right="1719" w:bottom="1378" w:left="1785" w:header="0" w:footer="1212" w:gutter="0"/>
          <w:cols w:space="720" w:num="1"/>
        </w:sectPr>
      </w:pPr>
    </w:p>
    <w:p w14:paraId="5BCDF268">
      <w:pPr>
        <w:pStyle w:val="2"/>
        <w:spacing w:before="46" w:line="235" w:lineRule="auto"/>
        <w:ind w:left="22" w:right="13" w:firstLine="1"/>
        <w:jc w:val="both"/>
      </w:pPr>
      <w:r>
        <w:rPr>
          <w:spacing w:val="-3"/>
        </w:rPr>
        <w:t>板进行评价模式改革，引入企业评价，在测验、考试中定期由企业出题检测，两</w:t>
      </w:r>
      <w:r>
        <w:t xml:space="preserve"> </w:t>
      </w:r>
      <w:r>
        <w:rPr>
          <w:spacing w:val="-3"/>
        </w:rPr>
        <w:t>门课程的期末成绩由教师评价和企业评价两部分组成。定期开展技能节，营造技</w:t>
      </w:r>
      <w:r>
        <w:rPr>
          <w:spacing w:val="1"/>
        </w:rPr>
        <w:t xml:space="preserve"> </w:t>
      </w:r>
      <w:r>
        <w:rPr>
          <w:spacing w:val="-3"/>
        </w:rPr>
        <w:t>能训练氛围，并对比赛结果核发校内技能鉴定证书。后期，将在更多课程中，引</w:t>
      </w:r>
      <w:r>
        <w:rPr>
          <w:spacing w:val="1"/>
        </w:rPr>
        <w:t xml:space="preserve"> </w:t>
      </w:r>
      <w:r>
        <w:rPr>
          <w:spacing w:val="-2"/>
        </w:rPr>
        <w:t>入企业参与教学评价。详见工作任务</w:t>
      </w:r>
      <w:r>
        <w:rPr>
          <w:spacing w:val="-27"/>
        </w:rPr>
        <w:t xml:space="preserve"> </w:t>
      </w:r>
      <w:r>
        <w:rPr>
          <w:rFonts w:ascii="Calibri" w:hAnsi="Calibri" w:eastAsia="Calibri" w:cs="Calibri"/>
          <w:spacing w:val="-2"/>
        </w:rPr>
        <w:t>1—3—3</w:t>
      </w:r>
      <w:r>
        <w:rPr>
          <w:spacing w:val="-2"/>
        </w:rPr>
        <w:t>。</w:t>
      </w:r>
    </w:p>
    <w:sectPr>
      <w:footerReference r:id="rId9" w:type="default"/>
      <w:pgSz w:w="11906" w:h="16839"/>
      <w:pgMar w:top="1429" w:right="1785" w:bottom="1376" w:left="1785" w:header="0" w:footer="121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AFD0EB-E3DB-4710-B425-E84D294FCBE2}"/>
  </w:font>
  <w:font w:name="黑体">
    <w:panose1 w:val="02010609060101010101"/>
    <w:charset w:val="86"/>
    <w:family w:val="auto"/>
    <w:pitch w:val="default"/>
    <w:sig w:usb0="800002BF" w:usb1="38CF7CFA" w:usb2="00000016" w:usb3="00000000" w:csb0="00040001" w:csb1="00000000"/>
    <w:embedRegular r:id="rId2" w:fontKey="{963EA329-73B3-4942-A9EA-FE7B14C888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3CF7A05B-1133-47F0-90AA-510358719D29}"/>
  </w:font>
  <w:font w:name="等线">
    <w:panose1 w:val="02010600030101010101"/>
    <w:charset w:val="86"/>
    <w:family w:val="auto"/>
    <w:pitch w:val="default"/>
    <w:sig w:usb0="A00002BF" w:usb1="38CF7CFA" w:usb2="00000016" w:usb3="00000000" w:csb0="0004000F" w:csb1="00000000"/>
    <w:embedRegular r:id="rId4" w:fontKey="{0777F0B4-EF40-43DC-AC1F-7C98FC1CFC83}"/>
  </w:font>
  <w:font w:name="华文行楷">
    <w:panose1 w:val="02010800040101010101"/>
    <w:charset w:val="86"/>
    <w:family w:val="auto"/>
    <w:pitch w:val="default"/>
    <w:sig w:usb0="00000001" w:usb1="080F0000" w:usb2="00000000" w:usb3="00000000" w:csb0="00040000" w:csb1="00000000"/>
    <w:embedRegular r:id="rId5" w:fontKey="{0C9B6676-BDE3-46F5-9834-339CF3AA42E4}"/>
  </w:font>
  <w:font w:name="楷体_GB2312">
    <w:altName w:val="楷体"/>
    <w:panose1 w:val="02010609030101010101"/>
    <w:charset w:val="86"/>
    <w:family w:val="modern"/>
    <w:pitch w:val="default"/>
    <w:sig w:usb0="00000000" w:usb1="00000000" w:usb2="00000000" w:usb3="00000000" w:csb0="00040000" w:csb1="00000000"/>
    <w:embedRegular r:id="rId6" w:fontKey="{B57C752D-6009-421F-9C65-086DF85934FD}"/>
  </w:font>
  <w:font w:name="方正小标宋简体">
    <w:panose1 w:val="02000000000000000000"/>
    <w:charset w:val="86"/>
    <w:family w:val="auto"/>
    <w:pitch w:val="default"/>
    <w:sig w:usb0="00000001" w:usb1="08000000" w:usb2="00000000" w:usb3="00000000" w:csb0="00040000" w:csb1="00000000"/>
    <w:embedRegular r:id="rId7" w:fontKey="{71F59EE5-38B6-400D-9FAA-0392A7B719E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989D9">
    <w:pPr>
      <w:spacing w:line="168" w:lineRule="auto"/>
      <w:ind w:left="4135"/>
      <w:rPr>
        <w:rFonts w:ascii="Calibri" w:hAnsi="Calibri" w:eastAsia="Calibri" w:cs="Calibri"/>
        <w:sz w:val="18"/>
        <w:szCs w:val="18"/>
      </w:rPr>
    </w:pPr>
    <w:r>
      <w:rPr>
        <w:rFonts w:ascii="Calibri" w:hAnsi="Calibri" w:eastAsia="Calibri" w:cs="Calibri"/>
        <w:sz w:val="18"/>
        <w:szCs w:val="18"/>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459C7">
    <w:pPr>
      <w:spacing w:line="169" w:lineRule="auto"/>
      <w:ind w:left="4130"/>
      <w:rPr>
        <w:rFonts w:ascii="Calibri" w:hAnsi="Calibri" w:eastAsia="Calibri" w:cs="Calibri"/>
        <w:sz w:val="18"/>
        <w:szCs w:val="18"/>
      </w:rPr>
    </w:pPr>
    <w:r>
      <w:rPr>
        <w:rFonts w:ascii="Calibri" w:hAnsi="Calibri" w:eastAsia="Calibri" w:cs="Calibri"/>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57BE">
    <w:pPr>
      <w:spacing w:line="169" w:lineRule="auto"/>
      <w:ind w:left="4129"/>
      <w:rPr>
        <w:rFonts w:ascii="Calibri" w:hAnsi="Calibri" w:eastAsia="Calibri" w:cs="Calibri"/>
        <w:sz w:val="18"/>
        <w:szCs w:val="18"/>
      </w:rPr>
    </w:pPr>
    <w:r>
      <w:rPr>
        <w:rFonts w:ascii="Calibri" w:hAnsi="Calibri" w:eastAsia="Calibri" w:cs="Calibri"/>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5332A">
    <w:pPr>
      <w:spacing w:line="168" w:lineRule="auto"/>
      <w:ind w:left="4124"/>
      <w:rPr>
        <w:rFonts w:ascii="Calibri" w:hAnsi="Calibri" w:eastAsia="Calibri" w:cs="Calibri"/>
        <w:sz w:val="18"/>
        <w:szCs w:val="18"/>
      </w:rPr>
    </w:pPr>
    <w:r>
      <w:rPr>
        <w:rFonts w:ascii="Calibri" w:hAnsi="Calibri" w:eastAsia="Calibri" w:cs="Calibri"/>
        <w:sz w:val="18"/>
        <w:szCs w:val="18"/>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3E794">
    <w:pPr>
      <w:widowControl w:val="0"/>
      <w:pBdr>
        <w:bottom w:val="single" w:color="auto" w:sz="4" w:space="0"/>
      </w:pBdr>
      <w:kinsoku/>
      <w:autoSpaceDE/>
      <w:autoSpaceDN/>
      <w:adjustRightInd/>
      <w:snapToGrid/>
      <w:spacing w:line="240" w:lineRule="auto"/>
      <w:ind w:left="326" w:leftChars="-295" w:right="31" w:rightChars="15" w:hanging="945" w:hangingChars="295"/>
      <w:jc w:val="distribute"/>
      <w:textAlignment w:val="auto"/>
      <w:rPr>
        <w:rFonts w:ascii="等线" w:hAnsi="等线" w:eastAsia="等线" w:cs="Times New Roman"/>
        <w:snapToGrid/>
        <w:kern w:val="2"/>
        <w:szCs w:val="20"/>
        <w:lang w:eastAsia="zh-CN"/>
      </w:rPr>
    </w:pPr>
    <w:r>
      <w:rPr>
        <w:rFonts w:hint="eastAsia" w:ascii="华文行楷" w:hAnsi="黑体" w:eastAsia="华文行楷" w:cs="Times New Roman"/>
        <w:b/>
        <w:snapToGrid/>
        <w:color w:val="00B050"/>
        <w:kern w:val="2"/>
        <w:sz w:val="32"/>
        <w:szCs w:val="32"/>
        <w:lang w:eastAsia="zh-CN"/>
      </w:rPr>
      <w:drawing>
        <wp:inline distT="0" distB="0" distL="114300" distR="114300">
          <wp:extent cx="297180" cy="297180"/>
          <wp:effectExtent l="0" t="0" r="7620" b="7620"/>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pic:cNvPicPr>
                </pic:nvPicPr>
                <pic:blipFill>
                  <a:blip r:embed="rId1"/>
                  <a:stretch>
                    <a:fillRect/>
                  </a:stretch>
                </pic:blipFill>
                <pic:spPr>
                  <a:xfrm>
                    <a:off x="0" y="0"/>
                    <a:ext cx="297180" cy="297180"/>
                  </a:xfrm>
                  <a:prstGeom prst="rect">
                    <a:avLst/>
                  </a:prstGeom>
                  <a:noFill/>
                  <a:ln>
                    <a:noFill/>
                  </a:ln>
                </pic:spPr>
              </pic:pic>
            </a:graphicData>
          </a:graphic>
        </wp:inline>
      </w:drawing>
    </w:r>
    <w:r>
      <w:rPr>
        <w:rFonts w:hint="eastAsia" w:ascii="华文行楷" w:hAnsi="黑体" w:eastAsia="华文行楷" w:cs="Times New Roman"/>
        <w:b/>
        <w:snapToGrid/>
        <w:color w:val="1D871D"/>
        <w:kern w:val="2"/>
        <w:sz w:val="32"/>
        <w:szCs w:val="32"/>
        <w:lang w:eastAsia="zh-CN"/>
      </w:rPr>
      <w:t>佛山市华材职业技术学校</w:t>
    </w:r>
    <w:r>
      <w:rPr>
        <w:rFonts w:hint="eastAsia" w:ascii="楷体_GB2312" w:hAnsi="等线" w:eastAsia="楷体_GB2312" w:cs="Times New Roman"/>
        <w:snapToGrid/>
        <w:kern w:val="2"/>
        <w:szCs w:val="20"/>
        <w:lang w:eastAsia="zh-CN"/>
      </w:rPr>
      <w:t xml:space="preserve">  </w:t>
    </w:r>
    <w:r>
      <w:rPr>
        <w:rFonts w:hint="eastAsia" w:ascii="楷体_GB2312" w:hAnsi="等线" w:eastAsia="楷体_GB2312" w:cs="Times New Roman"/>
        <w:snapToGrid/>
        <w:kern w:val="2"/>
        <w:szCs w:val="20"/>
        <w:lang w:val="en-US" w:eastAsia="zh-CN"/>
      </w:rPr>
      <w:t xml:space="preserve">     </w:t>
    </w:r>
    <w:r>
      <w:rPr>
        <w:rFonts w:hint="eastAsia" w:ascii="黑体" w:hAnsi="黑体" w:eastAsia="黑体" w:cs="黑体"/>
        <w:b/>
        <w:bCs/>
        <w:snapToGrid/>
        <w:color w:val="1D4B1C"/>
        <w:kern w:val="2"/>
        <w:sz w:val="21"/>
        <w:szCs w:val="21"/>
        <w:lang w:val="en-US" w:eastAsia="zh-CN"/>
      </w:rPr>
      <w:t>会计“双精准”示范专业建设佐证材料</w:t>
    </w:r>
    <w:r>
      <w:rPr>
        <w:rFonts w:hint="eastAsia" w:ascii="方正小标宋简体" w:hAnsi="方正小标宋简体" w:eastAsia="方正小标宋简体" w:cs="方正小标宋简体"/>
        <w:snapToGrid/>
        <w:color w:val="1D4B1C"/>
        <w:kern w:val="2"/>
        <w:szCs w:val="20"/>
        <w:lang w:eastAsia="zh-CN"/>
      </w:rPr>
      <w:t xml:space="preserve"> </w:t>
    </w:r>
    <w:r>
      <w:rPr>
        <w:rFonts w:hint="eastAsia" w:ascii="方正小标宋简体" w:hAnsi="方正小标宋简体" w:eastAsia="方正小标宋简体" w:cs="方正小标宋简体"/>
        <w:snapToGrid/>
        <w:kern w:val="2"/>
        <w:szCs w:val="20"/>
        <w:lang w:eastAsia="zh-CN"/>
      </w:rPr>
      <w:t xml:space="preserve">  </w:t>
    </w:r>
    <w:r>
      <w:rPr>
        <w:rFonts w:hint="eastAsia" w:ascii="楷体_GB2312" w:hAnsi="等线" w:eastAsia="楷体_GB2312" w:cs="Times New Roman"/>
        <w:snapToGrid/>
        <w:kern w:val="2"/>
        <w:szCs w:val="20"/>
        <w:lang w:eastAsia="zh-CN"/>
      </w:rPr>
      <w:t xml:space="preserve">  </w:t>
    </w:r>
  </w:p>
  <w:p w14:paraId="61A908D1">
    <w:pPr>
      <w:pStyle w:val="3"/>
      <w:tabs>
        <w:tab w:val="center" w:pos="4200"/>
        <w:tab w:val="clear"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FkN2U4MDNhY2FiYjgwMmZiMTFlZjJlZTg5MTMzNmMifQ=="/>
  </w:docVars>
  <w:rsids>
    <w:rsidRoot w:val="00000000"/>
    <w:rsid w:val="07BE24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1440</Words>
  <Characters>1484</Characters>
  <TotalTime>0</TotalTime>
  <ScaleCrop>false</ScaleCrop>
  <LinksUpToDate>false</LinksUpToDate>
  <CharactersWithSpaces>1551</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2021-10-07T11:41:00Z</dcterms:created>
  <dc:creator>Administrator</dc:creator>
  <cp:lastModifiedBy>坐看云起</cp:lastModifiedBy>
  <dcterms:modified xsi:type="dcterms:W3CDTF">2024-11-11T15:24:37Z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2024-10-16T20:01:37Z</vt:filetime>
  </property>
  <property fmtid="{D5CDD505-2E9C-101B-9397-08002B2CF9AE}" pid="4" name="KSOProductBuildVer">
    <vt:lpwstr>2052-12.1.0.18608</vt:lpwstr>
  </property>
  <property fmtid="{D5CDD505-2E9C-101B-9397-08002B2CF9AE}" pid="5" name="ICV">
    <vt:lpwstr>BE77192612944964BBED043C9A0373BD_12</vt:lpwstr>
  </property>
</Properties>
</file>