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8420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center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佛山市华材职业技术学校</w:t>
      </w:r>
    </w:p>
    <w:p w14:paraId="68AA760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20" w:firstLineChars="200"/>
        <w:jc w:val="center"/>
        <w:textAlignment w:val="baseline"/>
        <w:rPr>
          <w:rFonts w:ascii="宋体" w:hAnsi="宋体" w:eastAsia="宋体" w:cs="宋体"/>
          <w:spacing w:val="0"/>
          <w:sz w:val="31"/>
          <w:szCs w:val="31"/>
        </w:rPr>
      </w:pPr>
      <w:r>
        <w:rPr>
          <w:rFonts w:ascii="宋体" w:hAnsi="宋体" w:eastAsia="宋体" w:cs="宋体"/>
          <w:spacing w:val="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宋体" w:hAnsi="宋体" w:eastAsia="宋体" w:cs="宋体"/>
          <w:spacing w:val="0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-202</w:t>
      </w:r>
      <w:r>
        <w:rPr>
          <w:rFonts w:hint="eastAsia" w:ascii="宋体" w:hAnsi="宋体" w:eastAsia="宋体" w:cs="宋体"/>
          <w:spacing w:val="0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学年会计专业诊改方案</w:t>
      </w:r>
    </w:p>
    <w:p w14:paraId="70FA10A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20" w:firstLineChars="200"/>
        <w:textAlignment w:val="baseline"/>
        <w:rPr>
          <w:rFonts w:ascii="Arial"/>
          <w:spacing w:val="0"/>
          <w:sz w:val="21"/>
        </w:rPr>
      </w:pPr>
    </w:p>
    <w:p w14:paraId="4859859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outlineLvl w:val="9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</w:rPr>
        <w:t>我校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会计事务</w:t>
      </w:r>
      <w:r>
        <w:rPr>
          <w:rFonts w:hint="eastAsia" w:ascii="宋体" w:hAnsi="宋体" w:eastAsia="宋体" w:cs="宋体"/>
          <w:spacing w:val="0"/>
          <w:sz w:val="28"/>
          <w:szCs w:val="28"/>
        </w:rPr>
        <w:t>专业的现实情况，根据我校2022-2023学年专业剖析、课程剖析指标数据对照表共同88项，按省重点专业标准，达标数为8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pacing w:val="0"/>
          <w:sz w:val="28"/>
          <w:szCs w:val="28"/>
        </w:rPr>
        <w:t>项，达标率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97.73</w:t>
      </w:r>
      <w:r>
        <w:rPr>
          <w:rFonts w:hint="eastAsia" w:ascii="宋体" w:hAnsi="宋体" w:eastAsia="宋体" w:cs="宋体"/>
          <w:spacing w:val="0"/>
          <w:sz w:val="28"/>
          <w:szCs w:val="28"/>
        </w:rPr>
        <w:t>%。相较于2021—2022学年，专业诊改在师生比方面有了一定的改善。为进一步提升专业办学水平，制定如下改进方案。</w:t>
      </w:r>
    </w:p>
    <w:p w14:paraId="1B1C28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outlineLvl w:val="0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position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一、存在主要问题及成因</w:t>
      </w:r>
    </w:p>
    <w:p w14:paraId="0C40907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1</w:t>
      </w:r>
      <w:r>
        <w:rPr>
          <w:rFonts w:ascii="宋体" w:hAnsi="宋体" w:eastAsia="宋体" w:cs="宋体"/>
          <w:spacing w:val="0"/>
          <w:sz w:val="28"/>
          <w:szCs w:val="28"/>
        </w:rPr>
        <w:t>.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启创</w:t>
      </w:r>
      <w:r>
        <w:rPr>
          <w:rFonts w:ascii="宋体" w:hAnsi="宋体" w:eastAsia="宋体" w:cs="宋体"/>
          <w:spacing w:val="0"/>
          <w:sz w:val="28"/>
          <w:szCs w:val="28"/>
        </w:rPr>
        <w:t>校企合作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课程未按计划完成。</w:t>
      </w:r>
    </w:p>
    <w:p w14:paraId="62CA536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default" w:ascii="宋体" w:hAnsi="宋体" w:eastAsia="宋体" w:cs="宋体"/>
          <w:spacing w:val="0"/>
          <w:sz w:val="28"/>
          <w:szCs w:val="28"/>
          <w:lang w:val="en-US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未达标原因：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学校的作息制度改为与其他校区一致后，每天下午都有正课，学生外出实习影响的课程较多。缺乏足够老师带领学生外出。</w:t>
      </w:r>
    </w:p>
    <w:p w14:paraId="2C63054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spacing w:val="0"/>
          <w:sz w:val="28"/>
          <w:szCs w:val="28"/>
        </w:rPr>
        <w:t>.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双师含金量不够</w:t>
      </w:r>
    </w:p>
    <w:p w14:paraId="19177BE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未达标原因：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按照学校标准，专业达到双师率100%。但是按照国家文件标准，有的双师成色不足，缺乏与专业对口的专业技能证书，说明中青年教师的专业技能水平还有待提高，随着科组老教师的退休，这个指标将进一步受到影响。</w:t>
      </w:r>
    </w:p>
    <w:p w14:paraId="3770B4C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default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3.双证率质量有待提高</w:t>
      </w:r>
    </w:p>
    <w:p w14:paraId="55A9EE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default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未达标原因：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学生报考职业技能证书积极性不足，毕业生的专业技能等级证书获证率偏低。</w:t>
      </w:r>
    </w:p>
    <w:p w14:paraId="59F0AC9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4.教师教科研能力有待提高</w:t>
      </w:r>
    </w:p>
    <w:p w14:paraId="0659336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未达标原因：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专业教师工作任务繁重，被考证、联考、竞赛、第三方考核等多项事务所牵制，腾不出更多精力在教材编写、课题研究等教科研工作上。</w:t>
      </w:r>
    </w:p>
    <w:p w14:paraId="7FE0B35D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专业教学实训设备投入不足</w:t>
      </w:r>
    </w:p>
    <w:p w14:paraId="69519145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200" w:right="0" w:rightChars="0" w:firstLine="560" w:firstLineChars="200"/>
        <w:textAlignment w:val="baseline"/>
        <w:rPr>
          <w:rFonts w:hint="default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结合国家22年颁发的最近专业简介，在课程改革的背景下，我专业的</w:t>
      </w:r>
      <w:r>
        <w:rPr>
          <w:rFonts w:hint="default" w:ascii="宋体" w:hAnsi="宋体" w:eastAsia="宋体" w:cs="宋体"/>
          <w:spacing w:val="0"/>
          <w:sz w:val="28"/>
          <w:szCs w:val="28"/>
          <w:lang w:eastAsia="zh-CN"/>
        </w:rPr>
        <w:t>课程体系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中不断有课程需要替换、更新。</w:t>
      </w:r>
      <w:r>
        <w:rPr>
          <w:rFonts w:hint="default" w:ascii="宋体" w:hAnsi="宋体" w:eastAsia="宋体" w:cs="宋体"/>
          <w:spacing w:val="0"/>
          <w:sz w:val="28"/>
          <w:szCs w:val="28"/>
          <w:lang w:eastAsia="zh-CN"/>
        </w:rPr>
        <w:t>与之相匹配的是信息化教学平台。传统的课堂教学方式已经落后于数字化转型的大环境变革需要，也对持续投入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新的</w:t>
      </w:r>
      <w:r>
        <w:rPr>
          <w:rFonts w:hint="default" w:ascii="宋体" w:hAnsi="宋体" w:eastAsia="宋体" w:cs="宋体"/>
          <w:spacing w:val="0"/>
          <w:sz w:val="28"/>
          <w:szCs w:val="28"/>
          <w:lang w:eastAsia="zh-CN"/>
        </w:rPr>
        <w:t>教学平台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提出要求。</w:t>
      </w:r>
    </w:p>
    <w:p w14:paraId="2C3C37D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outlineLvl w:val="0"/>
        <w:rPr>
          <w:rFonts w:ascii="宋体" w:hAnsi="宋体" w:eastAsia="宋体" w:cs="宋体"/>
          <w:spacing w:val="0"/>
          <w:sz w:val="28"/>
          <w:szCs w:val="28"/>
        </w:rPr>
      </w:pPr>
      <w:bookmarkStart w:id="0" w:name="_GoBack"/>
      <w:r>
        <w:rPr>
          <w:rFonts w:ascii="宋体" w:hAnsi="宋体" w:eastAsia="宋体" w:cs="宋体"/>
          <w:spacing w:val="0"/>
          <w:position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二、改进措施</w:t>
      </w:r>
    </w:p>
    <w:bookmarkEnd w:id="0"/>
    <w:p w14:paraId="5F59D00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pacing w:val="0"/>
          <w:sz w:val="28"/>
          <w:szCs w:val="28"/>
        </w:rPr>
        <w:t>专业专任教师队伍建设</w:t>
      </w:r>
    </w:p>
    <w:p w14:paraId="2270186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 w:cs="宋体"/>
          <w:spacing w:val="0"/>
          <w:sz w:val="28"/>
          <w:szCs w:val="28"/>
        </w:rPr>
        <w:t xml:space="preserve">落实教师培训制度，保障培训经费。加大专业专任教师的培训力度，提升教师的职教理念和业务水平。保持近3年参培比达100%。 </w:t>
      </w:r>
    </w:p>
    <w:p w14:paraId="7484ED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②</w:t>
      </w:r>
      <w:r>
        <w:rPr>
          <w:rFonts w:hint="eastAsia" w:ascii="宋体" w:hAnsi="宋体" w:eastAsia="宋体" w:cs="宋体"/>
          <w:spacing w:val="0"/>
          <w:sz w:val="28"/>
          <w:szCs w:val="28"/>
        </w:rPr>
        <w:t>制定相应的激励机制，鼓励教师提升学历、职业资格水平。</w:t>
      </w:r>
    </w:p>
    <w:p w14:paraId="5604157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③</w:t>
      </w:r>
      <w:r>
        <w:rPr>
          <w:rFonts w:hint="eastAsia" w:ascii="宋体" w:hAnsi="宋体" w:eastAsia="宋体" w:cs="宋体"/>
          <w:spacing w:val="0"/>
          <w:sz w:val="28"/>
          <w:szCs w:val="28"/>
        </w:rPr>
        <w:t>制定相应的激励机制，鼓励教师积极主持、参与各级教育科研课题，提升科研创新能力。</w:t>
      </w:r>
    </w:p>
    <w:p w14:paraId="5817E29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④</w:t>
      </w:r>
      <w:r>
        <w:rPr>
          <w:rFonts w:hint="eastAsia" w:ascii="宋体" w:hAnsi="宋体" w:eastAsia="宋体" w:cs="宋体"/>
          <w:spacing w:val="0"/>
          <w:sz w:val="28"/>
          <w:szCs w:val="28"/>
        </w:rPr>
        <w:t>落实专业教师下企业顶岗实践计划，着力提升专业教师的实践能力。保持教师参加企业实践平均每2年有2个月以上。</w:t>
      </w:r>
    </w:p>
    <w:p w14:paraId="4EC7AB2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⑤</w:t>
      </w:r>
      <w:r>
        <w:rPr>
          <w:rFonts w:ascii="宋体" w:hAnsi="宋体" w:eastAsia="宋体" w:cs="宋体"/>
          <w:spacing w:val="0"/>
          <w:sz w:val="28"/>
          <w:szCs w:val="28"/>
        </w:rPr>
        <w:t>鼓励年轻教师提升专业水平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和教学技能</w:t>
      </w:r>
      <w:r>
        <w:rPr>
          <w:rFonts w:ascii="宋体" w:hAnsi="宋体" w:eastAsia="宋体" w:cs="宋体"/>
          <w:spacing w:val="0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通过带学生竞赛、参加教师教学能力大赛，更新知识技能。鼓励青年教师</w:t>
      </w:r>
      <w:r>
        <w:rPr>
          <w:rFonts w:ascii="宋体" w:hAnsi="宋体" w:eastAsia="宋体" w:cs="宋体"/>
          <w:spacing w:val="0"/>
          <w:sz w:val="28"/>
          <w:szCs w:val="28"/>
        </w:rPr>
        <w:t>参加会计职称考试和经济师系列考试。招聘具有中级以上会计职称的企业兼职教师。</w:t>
      </w:r>
    </w:p>
    <w:p w14:paraId="2FF386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</w:rPr>
        <w:t>2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pacing w:val="0"/>
          <w:sz w:val="28"/>
          <w:szCs w:val="28"/>
        </w:rPr>
        <w:t>专业兼职教师队伍建设</w:t>
      </w:r>
    </w:p>
    <w:p w14:paraId="2613F3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 w:cs="宋体"/>
          <w:spacing w:val="0"/>
          <w:sz w:val="28"/>
          <w:szCs w:val="28"/>
        </w:rPr>
        <w:t>有计划地安排兼职教师参与的各类培训；</w:t>
      </w:r>
    </w:p>
    <w:p w14:paraId="0C4553A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②</w:t>
      </w:r>
      <w:r>
        <w:rPr>
          <w:rFonts w:hint="eastAsia" w:ascii="宋体" w:hAnsi="宋体" w:eastAsia="宋体" w:cs="宋体"/>
          <w:spacing w:val="0"/>
          <w:sz w:val="28"/>
          <w:szCs w:val="28"/>
        </w:rPr>
        <w:t>组织兼职教师更多地参与科组教研活动；</w:t>
      </w:r>
    </w:p>
    <w:p w14:paraId="26E6399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③</w:t>
      </w:r>
      <w:r>
        <w:rPr>
          <w:rFonts w:hint="eastAsia" w:ascii="宋体" w:hAnsi="宋体" w:eastAsia="宋体" w:cs="宋体"/>
          <w:spacing w:val="0"/>
          <w:sz w:val="28"/>
          <w:szCs w:val="28"/>
        </w:rPr>
        <w:t>邀请兼职教师参与专业相关的教育科研课题研究。</w:t>
      </w:r>
    </w:p>
    <w:p w14:paraId="517B841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</w:rPr>
        <w:t>3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pacing w:val="0"/>
          <w:sz w:val="28"/>
          <w:szCs w:val="28"/>
        </w:rPr>
        <w:t>进一步提升专业水平</w:t>
      </w:r>
    </w:p>
    <w:p w14:paraId="03248DF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</w:rPr>
        <w:t>争取学生对专业的教学和学校的管理满意度稳定在98%的水平。挖掘专业带头人的潜力，提升教研能力</w:t>
      </w:r>
      <w:r>
        <w:rPr>
          <w:rFonts w:hint="eastAsia" w:ascii="宋体" w:hAnsi="宋体" w:eastAsia="宋体" w:cs="宋体"/>
          <w:spacing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pacing w:val="0"/>
          <w:sz w:val="28"/>
          <w:szCs w:val="28"/>
        </w:rPr>
        <w:t>争取在省及国家级的竞赛中，获得更好的成绩。</w:t>
      </w:r>
    </w:p>
    <w:p w14:paraId="193CC89F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4.</w:t>
      </w:r>
      <w:r>
        <w:rPr>
          <w:rFonts w:hint="eastAsia" w:ascii="宋体" w:hAnsi="宋体"/>
          <w:bCs/>
          <w:spacing w:val="0"/>
          <w:kern w:val="0"/>
          <w:sz w:val="28"/>
          <w:szCs w:val="28"/>
        </w:rPr>
        <w:t>继续深化校企合作，拓展合作途径和合作方式</w:t>
      </w:r>
      <w:r>
        <w:rPr>
          <w:rFonts w:hint="eastAsia" w:ascii="宋体" w:hAnsi="宋体"/>
          <w:spacing w:val="0"/>
          <w:sz w:val="28"/>
          <w:szCs w:val="28"/>
        </w:rPr>
        <w:t>，巩固并拓展校外实训基地。保持参加校外实践实习学生比率达95%以上，参加半年顶岗率实习学生达95%以上。合理配备实习指导教师，科学管理。保持100%的实习学生签订实习保险，100%的实习学生获得合理的实习报酬</w:t>
      </w:r>
      <w:r>
        <w:rPr>
          <w:rFonts w:hint="eastAsia"/>
          <w:spacing w:val="0"/>
          <w:szCs w:val="21"/>
        </w:rPr>
        <w:t>。</w:t>
      </w:r>
    </w:p>
    <w:p w14:paraId="583BA64D">
      <w:pPr>
        <w:spacing w:line="360" w:lineRule="auto"/>
        <w:ind w:firstLine="560" w:firstLineChars="200"/>
        <w:rPr>
          <w:rFonts w:hint="eastAsia" w:ascii="宋体" w:hAnsi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5.</w:t>
      </w:r>
      <w:r>
        <w:rPr>
          <w:rFonts w:hint="eastAsia" w:ascii="宋体" w:hAnsi="宋体"/>
          <w:spacing w:val="0"/>
          <w:sz w:val="28"/>
          <w:szCs w:val="28"/>
        </w:rPr>
        <w:t>落实执行各类教学管理制度，规范管理教学文件。全面实施教务管理信息化。落实教学质量评价体系。规范对毕业生的跟踪，</w:t>
      </w:r>
      <w:r>
        <w:rPr>
          <w:rFonts w:hint="eastAsia" w:ascii="宋体" w:hAnsi="宋体" w:eastAsia="宋体"/>
          <w:spacing w:val="0"/>
          <w:sz w:val="28"/>
          <w:szCs w:val="28"/>
          <w:lang w:val="en-US" w:eastAsia="zh-CN"/>
        </w:rPr>
        <w:t>保</w:t>
      </w:r>
      <w:r>
        <w:rPr>
          <w:rFonts w:hint="eastAsia" w:ascii="宋体" w:hAnsi="宋体"/>
          <w:spacing w:val="0"/>
          <w:sz w:val="28"/>
          <w:szCs w:val="28"/>
        </w:rPr>
        <w:t>持对毕业生2年跟踪率达98%以上。</w:t>
      </w:r>
    </w:p>
    <w:p w14:paraId="6E601E47">
      <w:pPr>
        <w:spacing w:line="360" w:lineRule="auto"/>
        <w:ind w:firstLine="560" w:firstLineChars="200"/>
        <w:rPr>
          <w:rFonts w:hint="eastAsia" w:ascii="宋体" w:hAnsi="宋体"/>
          <w:spacing w:val="0"/>
          <w:sz w:val="28"/>
          <w:szCs w:val="28"/>
        </w:rPr>
      </w:pPr>
      <w:r>
        <w:rPr>
          <w:rFonts w:hint="eastAsia" w:ascii="宋体" w:hAnsi="宋体"/>
          <w:spacing w:val="0"/>
          <w:sz w:val="28"/>
          <w:szCs w:val="28"/>
        </w:rPr>
        <w:t>定期开展教研活动，每个老师每学期参加教研活动1</w:t>
      </w:r>
      <w:r>
        <w:rPr>
          <w:rFonts w:hint="eastAsia" w:ascii="宋体" w:hAnsi="宋体" w:eastAsia="宋体"/>
          <w:spacing w:val="0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pacing w:val="0"/>
          <w:sz w:val="28"/>
          <w:szCs w:val="28"/>
        </w:rPr>
        <w:t>次以上，听课</w:t>
      </w:r>
      <w:r>
        <w:rPr>
          <w:rFonts w:hint="eastAsia" w:ascii="宋体" w:hAnsi="宋体" w:eastAsia="宋体"/>
          <w:spacing w:val="0"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spacing w:val="0"/>
          <w:sz w:val="28"/>
          <w:szCs w:val="28"/>
        </w:rPr>
        <w:t>节以上。</w:t>
      </w:r>
    </w:p>
    <w:p w14:paraId="6951FF25">
      <w:pPr>
        <w:spacing w:line="360" w:lineRule="auto"/>
        <w:ind w:firstLine="560" w:firstLineChars="200"/>
        <w:rPr>
          <w:rFonts w:hint="eastAsia" w:ascii="宋体" w:hAnsi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6.</w:t>
      </w:r>
      <w:r>
        <w:rPr>
          <w:rFonts w:hint="eastAsia" w:ascii="宋体" w:hAnsi="宋体"/>
          <w:spacing w:val="0"/>
          <w:sz w:val="28"/>
          <w:szCs w:val="28"/>
        </w:rPr>
        <w:t>发挥专业建设指导委员会的作用，定期开展专题活动。定期进行年度的市场调研，开展岗位能力分析，能根据企业和产业的要求及时调整专业课程体系和教学实训内容，调整每年的实施性教学计划。做到专业构建的课程体系架构科学合理，课程标准或大纲100%的齐备。</w:t>
      </w:r>
    </w:p>
    <w:p w14:paraId="7AAA50BA">
      <w:pPr>
        <w:spacing w:line="360" w:lineRule="auto"/>
        <w:ind w:firstLine="560" w:firstLineChars="200"/>
        <w:rPr>
          <w:rFonts w:hint="eastAsia" w:ascii="宋体" w:hAnsi="宋体"/>
          <w:spacing w:val="0"/>
          <w:sz w:val="28"/>
          <w:szCs w:val="28"/>
        </w:rPr>
      </w:pPr>
      <w:r>
        <w:rPr>
          <w:rFonts w:hint="eastAsia" w:ascii="宋体" w:hAnsi="宋体"/>
          <w:spacing w:val="0"/>
          <w:sz w:val="28"/>
          <w:szCs w:val="28"/>
        </w:rPr>
        <w:t>保证专业设置有论证报告，专业建设有规划，科学且全面得到落实。努力实施工学结合、校企合作的人才培养模式改革。大力推行一体化教学模式改革。实行工作过程系统化课程体系，根据实际情况进行动态调整。采用以能力为核心、行业企业参与的教学评价模式。理顺就业与中高职衔接之间的教学协调。</w:t>
      </w:r>
    </w:p>
    <w:p w14:paraId="05B53F7A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0" w:rightChars="0" w:firstLine="280" w:firstLineChars="100"/>
        <w:textAlignment w:val="baseline"/>
        <w:rPr>
          <w:rFonts w:hint="eastAsia" w:ascii="宋体" w:hAnsi="宋体"/>
          <w:bCs/>
          <w:spacing w:val="0"/>
          <w:kern w:val="0"/>
          <w:sz w:val="28"/>
          <w:szCs w:val="28"/>
        </w:rPr>
      </w:pPr>
      <w:r>
        <w:rPr>
          <w:rFonts w:hint="eastAsia" w:ascii="宋体" w:hAnsi="宋体" w:eastAsia="宋体"/>
          <w:bCs/>
          <w:spacing w:val="0"/>
          <w:kern w:val="0"/>
          <w:sz w:val="28"/>
          <w:szCs w:val="28"/>
          <w:lang w:val="en-US" w:eastAsia="zh-CN"/>
        </w:rPr>
        <w:t>7.</w:t>
      </w:r>
      <w:r>
        <w:rPr>
          <w:rFonts w:hint="eastAsia" w:ascii="宋体" w:hAnsi="宋体"/>
          <w:bCs/>
          <w:spacing w:val="0"/>
          <w:kern w:val="0"/>
          <w:sz w:val="28"/>
          <w:szCs w:val="28"/>
        </w:rPr>
        <w:t>继续加强专业的硬件与软件建设。落实每学期的微课制作和教学设计比赛的作品收集；加大</w:t>
      </w:r>
      <w:r>
        <w:rPr>
          <w:rFonts w:hint="eastAsia" w:ascii="宋体" w:hAnsi="宋体" w:eastAsia="宋体"/>
          <w:bCs/>
          <w:spacing w:val="0"/>
          <w:kern w:val="0"/>
          <w:sz w:val="28"/>
          <w:szCs w:val="28"/>
          <w:lang w:val="en-US" w:eastAsia="zh-CN"/>
        </w:rPr>
        <w:t>资源库</w:t>
      </w:r>
      <w:r>
        <w:rPr>
          <w:rFonts w:hint="eastAsia" w:ascii="宋体" w:hAnsi="宋体"/>
          <w:bCs/>
          <w:spacing w:val="0"/>
          <w:kern w:val="0"/>
          <w:sz w:val="28"/>
          <w:szCs w:val="28"/>
        </w:rPr>
        <w:t>的建设力度，提升教学资源库的使用面和使用率；加大对资源开发。</w:t>
      </w:r>
    </w:p>
    <w:p w14:paraId="2781E94A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0" w:rightChars="0" w:firstLine="280" w:firstLineChars="100"/>
        <w:textAlignment w:val="baseline"/>
        <w:rPr>
          <w:rFonts w:hint="default" w:ascii="宋体" w:hAnsi="宋体" w:eastAsia="宋体"/>
          <w:bCs/>
          <w:spacing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/>
          <w:bCs/>
          <w:spacing w:val="0"/>
          <w:kern w:val="0"/>
          <w:sz w:val="28"/>
          <w:szCs w:val="28"/>
          <w:lang w:val="en-US" w:eastAsia="zh-CN"/>
        </w:rPr>
        <w:t>8.加强素质教育。包括</w:t>
      </w:r>
      <w:r>
        <w:rPr>
          <w:rFonts w:hint="eastAsia" w:ascii="宋体" w:hAnsi="宋体"/>
          <w:bCs/>
          <w:spacing w:val="0"/>
          <w:kern w:val="0"/>
          <w:sz w:val="28"/>
          <w:szCs w:val="28"/>
        </w:rPr>
        <w:t>心理健康和艺术教育，培养学生的健康人格</w:t>
      </w:r>
      <w:r>
        <w:rPr>
          <w:rFonts w:hint="eastAsia" w:ascii="宋体" w:hAnsi="宋体" w:eastAsia="宋体"/>
          <w:bCs/>
          <w:spacing w:val="0"/>
          <w:kern w:val="0"/>
          <w:sz w:val="28"/>
          <w:szCs w:val="28"/>
          <w:lang w:eastAsia="zh-CN"/>
        </w:rPr>
        <w:t>。</w:t>
      </w:r>
      <w:r>
        <w:rPr>
          <w:rFonts w:hint="eastAsia" w:ascii="宋体" w:hAnsi="宋体" w:eastAsia="宋体"/>
          <w:bCs/>
          <w:spacing w:val="0"/>
          <w:kern w:val="0"/>
          <w:sz w:val="28"/>
          <w:szCs w:val="28"/>
          <w:lang w:val="en-US" w:eastAsia="zh-CN"/>
        </w:rPr>
        <w:t>开展各类专家讲座，加强学生对专业的认知和认可度，并培养学生的专业素质。</w:t>
      </w:r>
    </w:p>
    <w:p w14:paraId="565A1E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textAlignment w:val="baseline"/>
        <w:rPr>
          <w:rFonts w:hint="default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 xml:space="preserve"> 9.增加专业技能证书报考率，提高双证率质量。</w:t>
      </w:r>
    </w:p>
    <w:sectPr>
      <w:headerReference r:id="rId5" w:type="default"/>
      <w:footerReference r:id="rId6" w:type="default"/>
      <w:pgSz w:w="11906" w:h="16839"/>
      <w:pgMar w:top="1417" w:right="1417" w:bottom="1417" w:left="1417" w:header="850" w:footer="99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6F6DA77B-520F-4941-B7A4-F3DF75D4A62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E560EA0C-6C1F-4C4A-B74D-D43A28B73A0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3" w:fontKey="{4605ACF3-0F47-4378-89D0-77BA826341E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89203361-83E2-457D-BB98-2768B8435097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5" w:fontKey="{B8CCCD92-7CF9-4620-856B-1DE4B27C27AF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6" w:fontKey="{A3DB9F0B-2F43-4498-B86F-60F3003D2F3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58A7E078-3526-413D-9596-EBB521FF1D3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790159">
    <w:pPr>
      <w:spacing w:line="188" w:lineRule="auto"/>
      <w:ind w:left="4129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63E794">
    <w:pPr>
      <w:widowControl w:val="0"/>
      <w:pBdr>
        <w:bottom w:val="single" w:color="auto" w:sz="4" w:space="0"/>
      </w:pBdr>
      <w:kinsoku/>
      <w:autoSpaceDE/>
      <w:autoSpaceDN/>
      <w:adjustRightInd/>
      <w:snapToGrid/>
      <w:spacing w:line="240" w:lineRule="auto"/>
      <w:ind w:left="326" w:leftChars="-295" w:right="31" w:rightChars="15" w:hanging="945" w:hangingChars="295"/>
      <w:jc w:val="distribute"/>
      <w:textAlignment w:val="auto"/>
      <w:rPr>
        <w:rFonts w:ascii="等线" w:hAnsi="等线" w:eastAsia="等线" w:cs="Times New Roman"/>
        <w:snapToGrid/>
        <w:kern w:val="2"/>
        <w:szCs w:val="20"/>
        <w:lang w:val="en-US" w:eastAsia="zh-CN" w:bidi="ar-SA"/>
      </w:rPr>
    </w:pPr>
    <w:r>
      <w:rPr>
        <w:rFonts w:hint="eastAsia" w:ascii="华文行楷" w:hAnsi="黑体" w:eastAsia="华文行楷" w:cs="Times New Roman"/>
        <w:b/>
        <w:snapToGrid/>
        <w:color w:val="00B050"/>
        <w:kern w:val="2"/>
        <w:sz w:val="32"/>
        <w:szCs w:val="32"/>
        <w:lang w:val="en-US" w:eastAsia="zh-CN" w:bidi="ar-SA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 w:cs="Times New Roman"/>
        <w:b/>
        <w:snapToGrid/>
        <w:color w:val="1D871D"/>
        <w:kern w:val="2"/>
        <w:sz w:val="32"/>
        <w:szCs w:val="32"/>
        <w:lang w:val="en-US" w:eastAsia="zh-CN" w:bidi="ar-SA"/>
      </w:rPr>
      <w:t>佛山市华材职业技术学校</w:t>
    </w:r>
    <w:r>
      <w:rPr>
        <w:rFonts w:hint="eastAsia" w:ascii="楷体_GB2312" w:hAnsi="等线" w:eastAsia="楷体_GB2312" w:cs="Times New Roman"/>
        <w:snapToGrid/>
        <w:kern w:val="2"/>
        <w:szCs w:val="20"/>
        <w:lang w:val="en-US" w:eastAsia="zh-CN" w:bidi="ar-SA"/>
      </w:rPr>
      <w:t xml:space="preserve">          </w:t>
    </w:r>
    <w:r>
      <w:rPr>
        <w:rFonts w:hint="eastAsia" w:ascii="黑体" w:hAnsi="黑体" w:eastAsia="黑体" w:cs="黑体"/>
        <w:b/>
        <w:bCs/>
        <w:snapToGrid/>
        <w:color w:val="1D4B1C"/>
        <w:kern w:val="2"/>
        <w:sz w:val="21"/>
        <w:szCs w:val="21"/>
        <w:lang w:val="en-US" w:eastAsia="zh-CN" w:bidi="ar-SA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snapToGrid/>
        <w:color w:val="1D4B1C"/>
        <w:kern w:val="2"/>
        <w:szCs w:val="20"/>
        <w:lang w:val="en-US" w:eastAsia="zh-CN" w:bidi="ar-SA"/>
      </w:rPr>
      <w:t xml:space="preserve"> </w:t>
    </w:r>
    <w:r>
      <w:rPr>
        <w:rFonts w:hint="eastAsia" w:ascii="方正小标宋简体" w:hAnsi="方正小标宋简体" w:eastAsia="方正小标宋简体" w:cs="方正小标宋简体"/>
        <w:snapToGrid/>
        <w:kern w:val="2"/>
        <w:szCs w:val="20"/>
        <w:lang w:val="en-US" w:eastAsia="zh-CN" w:bidi="ar-SA"/>
      </w:rPr>
      <w:t xml:space="preserve">  </w:t>
    </w:r>
    <w:r>
      <w:rPr>
        <w:rFonts w:hint="eastAsia" w:ascii="楷体_GB2312" w:hAnsi="等线" w:eastAsia="楷体_GB2312" w:cs="Times New Roman"/>
        <w:snapToGrid/>
        <w:kern w:val="2"/>
        <w:szCs w:val="20"/>
        <w:lang w:val="en-US" w:eastAsia="zh-CN" w:bidi="ar-SA"/>
      </w:rPr>
      <w:t xml:space="preserve">  </w:t>
    </w:r>
  </w:p>
  <w:p w14:paraId="1FA54DB3">
    <w:pPr>
      <w:pStyle w:val="2"/>
      <w:tabs>
        <w:tab w:val="right" w:pos="9040"/>
        <w:tab w:val="clear" w:pos="8306"/>
      </w:tabs>
      <w:ind w:right="-445" w:rightChars="-2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54EA09"/>
    <w:multiLevelType w:val="singleLevel"/>
    <w:tmpl w:val="7D54EA09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FkN2U4MDNhY2FiYjgwMmZiMTFlZjJlZTg5MTMzNmMifQ=="/>
  </w:docVars>
  <w:rsids>
    <w:rsidRoot w:val="00000000"/>
    <w:rsid w:val="43040332"/>
    <w:rsid w:val="54970651"/>
    <w:rsid w:val="5E343032"/>
    <w:rsid w:val="61446B61"/>
    <w:rsid w:val="6421678C"/>
    <w:rsid w:val="66541375"/>
    <w:rsid w:val="706507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1643</Words>
  <Characters>1711</Characters>
  <TotalTime>0</TotalTime>
  <ScaleCrop>false</ScaleCrop>
  <LinksUpToDate>false</LinksUpToDate>
  <CharactersWithSpaces>1714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2021-09-27T21:25:00Z</dcterms:created>
  <dc:creator>王祥友</dc:creator>
  <cp:lastModifiedBy>坐看云起</cp:lastModifiedBy>
  <dcterms:modified xsi:type="dcterms:W3CDTF">2024-12-01T09:45:01Z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2022-12-23T19:59:16Z</vt:filetime>
  </property>
  <property fmtid="{D5CDD505-2E9C-101B-9397-08002B2CF9AE}" pid="4" name="KSOProductBuildVer">
    <vt:lpwstr>2052-12.1.0.18912</vt:lpwstr>
  </property>
  <property fmtid="{D5CDD505-2E9C-101B-9397-08002B2CF9AE}" pid="5" name="ICV">
    <vt:lpwstr>60AD2B18EDDF4B3793B9D5AF63979BC5_13</vt:lpwstr>
  </property>
</Properties>
</file>