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648E0">
      <w:pPr>
        <w:adjustRightInd w:val="0"/>
        <w:snapToGrid w:val="0"/>
        <w:spacing w:line="360" w:lineRule="auto"/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佛山市华材职业技术学校</w:t>
      </w:r>
    </w:p>
    <w:p w14:paraId="2D9D4D51">
      <w:pPr>
        <w:adjustRightInd w:val="0"/>
        <w:snapToGrid w:val="0"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会计事务</w:t>
      </w:r>
      <w:r>
        <w:rPr>
          <w:rFonts w:hint="eastAsia" w:ascii="宋体" w:hAnsi="宋体"/>
          <w:b/>
          <w:sz w:val="28"/>
          <w:szCs w:val="28"/>
        </w:rPr>
        <w:t>专业诊改方案</w:t>
      </w:r>
    </w:p>
    <w:p w14:paraId="01947B30">
      <w:pPr>
        <w:adjustRightInd w:val="0"/>
        <w:snapToGrid w:val="0"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（20</w:t>
      </w:r>
      <w:r>
        <w:rPr>
          <w:rFonts w:ascii="宋体" w:hAnsi="宋体"/>
          <w:b/>
          <w:sz w:val="28"/>
          <w:szCs w:val="28"/>
        </w:rPr>
        <w:t>2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ascii="宋体" w:hAnsi="宋体"/>
          <w:b/>
          <w:sz w:val="28"/>
          <w:szCs w:val="28"/>
        </w:rPr>
        <w:t>202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sz w:val="28"/>
          <w:szCs w:val="28"/>
        </w:rPr>
        <w:t>学年）</w:t>
      </w:r>
    </w:p>
    <w:p w14:paraId="3A810044">
      <w:pPr>
        <w:adjustRightInd w:val="0"/>
        <w:snapToGrid w:val="0"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 w14:paraId="01F53B6F">
      <w:pPr>
        <w:ind w:firstLine="840" w:firstLineChars="3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我校</w:t>
      </w:r>
      <w:r>
        <w:rPr>
          <w:rFonts w:hint="eastAsia" w:ascii="宋体" w:hAnsi="宋体"/>
          <w:sz w:val="28"/>
          <w:szCs w:val="28"/>
          <w:lang w:val="en-US" w:eastAsia="zh-CN"/>
        </w:rPr>
        <w:t>会计事务</w:t>
      </w:r>
      <w:r>
        <w:rPr>
          <w:rFonts w:hint="eastAsia" w:ascii="宋体" w:hAnsi="宋体"/>
          <w:sz w:val="28"/>
          <w:szCs w:val="28"/>
        </w:rPr>
        <w:t>专业的现实情况，根据我校202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-202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学年专业剖析、课程剖析指标数据对照表共同88项，按省重点专业标准，达标数为88项，达标率100%。相较于202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—202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学年，专业诊改在</w:t>
      </w:r>
      <w:r>
        <w:rPr>
          <w:rFonts w:hint="eastAsia" w:ascii="宋体" w:hAnsi="宋体"/>
          <w:sz w:val="28"/>
          <w:szCs w:val="28"/>
          <w:lang w:val="en-US" w:eastAsia="zh-CN"/>
        </w:rPr>
        <w:t>专业建设状态方面有了持续的进步</w:t>
      </w:r>
      <w:r>
        <w:rPr>
          <w:rFonts w:hint="eastAsia" w:ascii="宋体" w:hAnsi="宋体"/>
          <w:sz w:val="28"/>
          <w:szCs w:val="28"/>
        </w:rPr>
        <w:t>。为进一步提升专业办学水平，制定如下改进方案。</w:t>
      </w:r>
    </w:p>
    <w:p w14:paraId="1526A478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一、办学理念</w:t>
      </w:r>
    </w:p>
    <w:p w14:paraId="5FC40833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1.1专业办学定位</w:t>
      </w:r>
    </w:p>
    <w:p w14:paraId="0D7E47AC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加强校企合作，</w:t>
      </w:r>
      <w:r>
        <w:rPr>
          <w:rFonts w:hint="eastAsia" w:ascii="宋体" w:hAnsi="宋体"/>
          <w:sz w:val="28"/>
          <w:szCs w:val="28"/>
          <w:lang w:val="en-US" w:eastAsia="zh-CN"/>
        </w:rPr>
        <w:t>继续</w:t>
      </w:r>
      <w:r>
        <w:rPr>
          <w:rFonts w:hint="eastAsia" w:ascii="宋体" w:hAnsi="宋体"/>
          <w:sz w:val="28"/>
          <w:szCs w:val="28"/>
        </w:rPr>
        <w:t>引入企业进校开展实操教学，进一步提升专业的建设水平。</w:t>
      </w:r>
    </w:p>
    <w:p w14:paraId="6A62FFE5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加强与佛山职业技术学院中高职衔接三二分段自主招生培养</w:t>
      </w:r>
      <w:r>
        <w:rPr>
          <w:rFonts w:hint="eastAsia" w:ascii="宋体" w:hAnsi="宋体"/>
          <w:sz w:val="28"/>
          <w:szCs w:val="28"/>
          <w:lang w:val="en-US" w:eastAsia="zh-CN"/>
        </w:rPr>
        <w:t>质量管理</w:t>
      </w:r>
      <w:r>
        <w:rPr>
          <w:rFonts w:hint="eastAsia" w:ascii="宋体" w:hAnsi="宋体"/>
          <w:sz w:val="28"/>
          <w:szCs w:val="28"/>
        </w:rPr>
        <w:t>，提供多元升学途径。</w:t>
      </w:r>
    </w:p>
    <w:p w14:paraId="7BE1348D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产教融合，与企业合作，</w:t>
      </w:r>
      <w:r>
        <w:rPr>
          <w:rFonts w:hint="eastAsia" w:ascii="宋体" w:hAnsi="宋体"/>
          <w:sz w:val="28"/>
          <w:szCs w:val="28"/>
          <w:lang w:val="en-US" w:eastAsia="zh-CN"/>
        </w:rPr>
        <w:t>继续</w:t>
      </w:r>
      <w:r>
        <w:rPr>
          <w:rFonts w:hint="eastAsia" w:ascii="宋体" w:hAnsi="宋体"/>
          <w:sz w:val="28"/>
          <w:szCs w:val="28"/>
        </w:rPr>
        <w:t>开展1 + X证书考核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并结合财税最新变化需求更换个别证书</w:t>
      </w:r>
      <w:r>
        <w:rPr>
          <w:rFonts w:hint="eastAsia" w:ascii="宋体" w:hAnsi="宋体"/>
          <w:sz w:val="28"/>
          <w:szCs w:val="28"/>
        </w:rPr>
        <w:t>。</w:t>
      </w:r>
    </w:p>
    <w:p w14:paraId="4D219C01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1.2专业人才培养目标</w:t>
      </w:r>
    </w:p>
    <w:p w14:paraId="005FB885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根据本地经济发展趋势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数字经济对财会工作的变革推动</w:t>
      </w:r>
      <w:r>
        <w:rPr>
          <w:rFonts w:hint="eastAsia" w:ascii="宋体" w:hAnsi="宋体"/>
          <w:sz w:val="28"/>
          <w:szCs w:val="28"/>
        </w:rPr>
        <w:t>和近年来我校本专业毕业生就业走向，基于本专业相关企业对应工作岗位群的工作内容、技能需求和职业素养标准的要求，对人才培养目标动态调整。</w:t>
      </w:r>
    </w:p>
    <w:p w14:paraId="191D4F52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根据行业专家建议，</w:t>
      </w:r>
      <w:r>
        <w:rPr>
          <w:rFonts w:hint="eastAsia" w:ascii="宋体" w:hAnsi="宋体"/>
          <w:sz w:val="28"/>
          <w:szCs w:val="28"/>
          <w:lang w:val="en-US" w:eastAsia="zh-CN"/>
        </w:rPr>
        <w:t>保持</w:t>
      </w:r>
      <w:r>
        <w:rPr>
          <w:rFonts w:hint="eastAsia" w:ascii="宋体" w:hAnsi="宋体"/>
          <w:sz w:val="28"/>
          <w:szCs w:val="28"/>
        </w:rPr>
        <w:t>合理优化课程结构。</w:t>
      </w:r>
    </w:p>
    <w:p w14:paraId="40326CC1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持续推进实施产教融合项目实践教学活动。</w:t>
      </w:r>
    </w:p>
    <w:p w14:paraId="4CA928CC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1.3专业素质教育</w:t>
      </w:r>
    </w:p>
    <w:p w14:paraId="4F3280C7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德育部长和班主任二级管理，以德育科研为根本，培养名班主任和骨干班主任。</w:t>
      </w:r>
    </w:p>
    <w:p w14:paraId="2AD4A929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德育课程和体育开足三年，积极开展德育和教研活动。每周一节班会课，2节德育课。</w:t>
      </w:r>
    </w:p>
    <w:p w14:paraId="6EB9D8FD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注重身体素质和人文教育，塑造学生的优秀品质。</w:t>
      </w:r>
    </w:p>
    <w:p w14:paraId="7CCF8A60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4. 组织学生开展社会实践活动、引领学生参与社区服务活动。</w:t>
      </w:r>
    </w:p>
    <w:p w14:paraId="1B938ACF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5. 进行职业规划教育，提高学生对职业的向往。</w:t>
      </w:r>
    </w:p>
    <w:p w14:paraId="08CE67DE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6. 每学期开展学生座谈会，及时了解学生的心理情况，并掌握学生的专业学习情况。</w:t>
      </w:r>
    </w:p>
    <w:p w14:paraId="05AF9191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二、师资队伍建设</w:t>
      </w:r>
    </w:p>
    <w:p w14:paraId="03C291F3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制定师资队伍建设有计划、明确目标、进一步优化师资结构，争取教师整体素质提升明显。</w:t>
      </w:r>
    </w:p>
    <w:p w14:paraId="3E26B811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2.1专业专任教师队伍建设</w:t>
      </w:r>
    </w:p>
    <w:p w14:paraId="173BA616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加大专业专任教师的培训力度，提升教师的职教理念和业务水平。</w:t>
      </w:r>
    </w:p>
    <w:p w14:paraId="14DE9F23">
      <w:pPr>
        <w:jc w:val="left"/>
        <w:outlineLvl w:val="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制定相应的激励机制，鼓励教师提升学历、职业资格水平。</w:t>
      </w:r>
    </w:p>
    <w:p w14:paraId="135A2ACC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制定相应的激励机制，鼓励教师积极主持、参与各级教育科研课题，提升科研创新能力。</w:t>
      </w:r>
    </w:p>
    <w:p w14:paraId="170F0949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4. 落实专业教师</w:t>
      </w:r>
      <w:r>
        <w:rPr>
          <w:rFonts w:hint="eastAsia" w:ascii="宋体" w:hAnsi="宋体"/>
          <w:sz w:val="28"/>
          <w:szCs w:val="28"/>
          <w:lang w:val="en-US" w:eastAsia="zh-CN"/>
        </w:rPr>
        <w:t>全员</w:t>
      </w:r>
      <w:r>
        <w:rPr>
          <w:rFonts w:hint="eastAsia" w:ascii="宋体" w:hAnsi="宋体"/>
          <w:sz w:val="28"/>
          <w:szCs w:val="28"/>
        </w:rPr>
        <w:t>下企业顶岗实践计划，着力提升专业教师的实践能力。</w:t>
      </w:r>
    </w:p>
    <w:p w14:paraId="25442C6E">
      <w:pPr>
        <w:jc w:val="left"/>
        <w:rPr>
          <w:rFonts w:hint="eastAsia" w:ascii="宋体" w:hAnsi="宋体"/>
          <w:sz w:val="28"/>
          <w:szCs w:val="28"/>
        </w:rPr>
      </w:pPr>
    </w:p>
    <w:p w14:paraId="7251B36C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2.2专业兼职教师队伍建设</w:t>
      </w:r>
    </w:p>
    <w:p w14:paraId="6B4FA6F2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有计划地安排兼职教师参与的各类培训。</w:t>
      </w:r>
    </w:p>
    <w:p w14:paraId="761CF4FB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组织兼职教师更多地参与科组教研活动。</w:t>
      </w:r>
    </w:p>
    <w:p w14:paraId="3E877CF7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邀请兼职教师参与专业相关的教育科研课题研究。</w:t>
      </w:r>
    </w:p>
    <w:p w14:paraId="4ABA2EDA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2.3进一步提升专业水平</w:t>
      </w:r>
    </w:p>
    <w:p w14:paraId="6C278142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争取学生对专业的教学和学校的管理满意度稳定在98%以上的水平。挖掘专业带头人的潜力，提升教研能力。争取在省及国家级的竞赛中，获得更好的成绩。</w:t>
      </w:r>
    </w:p>
    <w:p w14:paraId="079EB3BB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三、实习实训</w:t>
      </w:r>
    </w:p>
    <w:p w14:paraId="676050B0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完善校内外实训管理制，严格贯彻与落实。规范管理实训室，落实好相关管理制度，进一步提升实训室的管理水平。</w:t>
      </w:r>
    </w:p>
    <w:p w14:paraId="68BAF4A0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3.1实践教学</w:t>
      </w:r>
    </w:p>
    <w:p w14:paraId="50E08B2D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实训教学有计划，符合培养目标且得到落实，校内外实训管理制度齐全且落实有力，实训项目设计科学。实习指导教师配备齐全，管理到位。</w:t>
      </w:r>
    </w:p>
    <w:p w14:paraId="666E82E3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3.2校内实习实训</w:t>
      </w:r>
    </w:p>
    <w:p w14:paraId="4C6E35F1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合理安排实训项目，用好教学资源。落实设备运行状态的日常监测与维护。</w:t>
      </w:r>
    </w:p>
    <w:p w14:paraId="43B63CB5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专业构建的课程体系架构科学合理，课程标准或大纲齐备。实习实训有计划，符合培养目标且得到落实，校内外实训管理制度齐全且落实有力，实训项目开出率100%。</w:t>
      </w:r>
    </w:p>
    <w:p w14:paraId="0C852FD9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3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.</w:t>
      </w:r>
      <w:bookmarkStart w:id="0" w:name="_GoBack"/>
      <w:bookmarkEnd w:id="0"/>
      <w:r>
        <w:rPr>
          <w:rFonts w:hint="eastAsia" w:ascii="宋体" w:hAnsi="宋体"/>
          <w:b/>
          <w:bCs/>
          <w:sz w:val="28"/>
          <w:szCs w:val="28"/>
        </w:rPr>
        <w:t>3校外实习实训</w:t>
      </w:r>
    </w:p>
    <w:p w14:paraId="56B465AB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加强学生参加校外实践率，保持97.76%以上的学生参加校外实践实习。且100%的签订实习保险，100%合理获得实习报酬。</w:t>
      </w:r>
    </w:p>
    <w:p w14:paraId="23BF9DF2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四、专业建设</w:t>
      </w:r>
    </w:p>
    <w:p w14:paraId="6A14EFCB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继续开展调研、充分发挥专业建设指导委员会对专业建设的指导作用。定期开展调研、做到专业设置有论证报告，有专业建设规划。完善专业人才培养方案和核心专业课程的课程标准，修订《会计事务专业人才培养方案》。继续加强专业教学资源的建设与开发，丰富教学资源库内容。</w:t>
      </w:r>
    </w:p>
    <w:p w14:paraId="1AED57D3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4.1教学管理</w:t>
      </w:r>
    </w:p>
    <w:p w14:paraId="5A6F8B42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落实执行各类教学管理制度，规范管理教学文件。全面实施教务管理信息化。落实教学质量评价体系。规范对毕业生的跟踪，操持对毕业生2年跟踪率达96%以上。</w:t>
      </w:r>
    </w:p>
    <w:p w14:paraId="2538947B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定期开展教研活动，每个老师每学期参加教研活动15次以上，听课15节以上。</w:t>
      </w:r>
    </w:p>
    <w:p w14:paraId="2B8CC845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4.2专业改革</w:t>
      </w:r>
    </w:p>
    <w:p w14:paraId="3B8CDA4A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发挥专业建设指导委员会的作用，定期开展专题活动。定期进行年度的</w:t>
      </w:r>
      <w:r>
        <w:rPr>
          <w:rFonts w:hint="eastAsia" w:ascii="宋体" w:hAnsi="宋体"/>
          <w:sz w:val="28"/>
          <w:szCs w:val="28"/>
          <w:lang w:val="en-US" w:eastAsia="zh-CN"/>
        </w:rPr>
        <w:t>专项</w:t>
      </w:r>
      <w:r>
        <w:rPr>
          <w:rFonts w:hint="eastAsia" w:ascii="宋体" w:hAnsi="宋体"/>
          <w:sz w:val="28"/>
          <w:szCs w:val="28"/>
        </w:rPr>
        <w:t>调研，开展岗位能力分析，能根据企业和产业的要求及时调整专业课程体系和教学实训内容，调整每年的实施性教学计划。做到专业构建的课程体系架构科学合理，课程标准或大纲100%的齐备。</w:t>
      </w:r>
    </w:p>
    <w:p w14:paraId="4EE7873E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保证专业设置有论证报告，专业建设有规划，科学且全面得到落实。努力实施工学结合、校企合作的人才培养模式改革。大力推行一体化教学模式改革。实行工作过程系统化课程体系，根据实际情况进行动态调整。采用以能力为核心、行业企业参与的教学评价模式。理顺就业与中高职衔接之间的教学协调。</w:t>
      </w:r>
    </w:p>
    <w:p w14:paraId="51F303EF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4.3教学资源建设</w:t>
      </w:r>
    </w:p>
    <w:p w14:paraId="7CC10174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继续加强专业的硬件与软件建设。落实每学期的微课制作和教学设计比赛的作品收集；加大试题库的建设力度，增加试题库、提升教学资源库的使用面和使用率；加大对资源开发。</w:t>
      </w:r>
    </w:p>
    <w:p w14:paraId="6ED87B5F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公共课用规定的教材、规范选用专业课教材。继续自主开发校本教材。争取行业企业参与教材建设，丰富现有的教学资源库，完善现有网络课程的内容，丰富网络学习平台内容。完善专业核心课程的数字化教学资源和网络精品课程内容。</w:t>
      </w:r>
    </w:p>
    <w:p w14:paraId="43BD6473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五、质量效益</w:t>
      </w:r>
    </w:p>
    <w:p w14:paraId="38730E34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一步提升专业办水平，提升社会影响度，保障招生质量。保证专业的运行状态良好，班风学风良好，教学质量稳步提升，成绩显著。为社会提供优质的技术服务，提升就业质量，争取普遍得到社会和用人单位的认可。</w:t>
      </w:r>
    </w:p>
    <w:p w14:paraId="413ABA3B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5.1人才培养与社会服务</w:t>
      </w:r>
    </w:p>
    <w:p w14:paraId="4616115A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保持人才培养规模达到省重点专业近三年平均300人以上的标准。保持职业培训量近两年平均达到一定标准，增加专业教师的社会技术服务次数。提高教学质量，提升社会知名度，保障招生规模。</w:t>
      </w:r>
    </w:p>
    <w:p w14:paraId="7936C5FB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5.2学生水平与就业质量</w:t>
      </w:r>
    </w:p>
    <w:p w14:paraId="7611BE5E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保持学生三年巩固率达96.5%以上，应届生双证率达到98.31%以上。继续对学生开展就业与创业培训，保持一次就业率达到93.85%以上，对口率87.5%以上，初次就业平均月薪有所提升。争取升入高职学院和普通本科高校的比例达到86.03%以上，用人单位满意度100%以上，毕业生2年跟踪率为96%以上。在各级竞赛中争取更好的成绩，发挥专业示范带头作用。</w:t>
      </w:r>
    </w:p>
    <w:p w14:paraId="7F8B7853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5.3示范作用</w:t>
      </w:r>
    </w:p>
    <w:p w14:paraId="2024BAD5">
      <w:pPr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继续发挥专业带头人的社会影响力和服务作用，分享经验。加强与省内外兄弟学校间的交流与合作。</w:t>
      </w:r>
    </w:p>
    <w:p w14:paraId="2DD02C46">
      <w:pPr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六、实现目标</w:t>
      </w:r>
    </w:p>
    <w:p w14:paraId="19419323">
      <w:pPr>
        <w:ind w:firstLine="560" w:firstLineChars="200"/>
        <w:jc w:val="left"/>
        <w:rPr>
          <w:rFonts w:hint="eastAsia" w:ascii="宋体" w:hAnsi="宋体"/>
          <w:b w:val="0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做到专业办学定位准确，专业人才培养目标科学，专业建设、运行状态良好，各项监测指标均达到或高于省重点建设专业标准；师资队伍结构合理，师资队伍建设有计划、目标明确、措施可行、制度保障，成效明显。专业有效落实学校管理制度，建设规范。有健全的专业质量监控。教师授课学生满意度高，用人单位对毕业生满意高。专业办学水平得到社会的认可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6EA74BC-AE1D-4A81-A6E1-E59C5244AE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7390D76-C812-4BB3-9B6D-6B2E1D906F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3" w:fontKey="{F701D1A8-913D-438B-9D4F-1108D2FD3DD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D0F592D9-C95F-42BD-BCEB-EA76D4C152E5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602AC928-084E-4FB7-8DAB-E6D1B938E352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B7587C98-CBE6-4331-8753-09F88D1275F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6503910E-DE88-4A07-AAE9-3A205272DBB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933E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A0A29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A0A29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3E794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326" w:leftChars="-295" w:right="31" w:rightChars="15" w:hanging="945" w:hangingChars="295"/>
      <w:jc w:val="distribute"/>
      <w:textAlignment w:val="auto"/>
      <w:rPr>
        <w:rFonts w:ascii="等线" w:hAnsi="等线" w:eastAsia="等线" w:cs="Times New Roman"/>
        <w:snapToGrid/>
        <w:color w:val="000000"/>
        <w:kern w:val="2"/>
        <w:szCs w:val="20"/>
        <w:lang w:val="en-US" w:eastAsia="zh-CN" w:bidi="ar-SA"/>
      </w:rPr>
    </w:pP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val="en-US" w:eastAsia="zh-CN" w:bidi="ar-SA"/>
      </w:rPr>
      <w:drawing>
        <wp:inline distT="0" distB="0" distL="114300" distR="114300">
          <wp:extent cx="297180" cy="297180"/>
          <wp:effectExtent l="0" t="0" r="7620" b="7620"/>
          <wp:docPr id="2" name="图片 2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 w:bidi="ar-SA"/>
      </w:rPr>
      <w:t>佛山市华材职业技术学校</w:t>
    </w:r>
    <w:r>
      <w:rPr>
        <w:rFonts w:hint="eastAsia" w:ascii="楷体_GB2312" w:hAnsi="等线" w:eastAsia="楷体_GB2312" w:cs="Times New Roman"/>
        <w:snapToGrid/>
        <w:color w:val="000000"/>
        <w:kern w:val="2"/>
        <w:szCs w:val="20"/>
        <w:lang w:val="en-US" w:eastAsia="zh-CN" w:bidi="ar-SA"/>
      </w:rPr>
      <w:t xml:space="preserve">      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 w:bidi="ar-SA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snapToGrid/>
        <w:color w:val="1D4B1C"/>
        <w:kern w:val="2"/>
        <w:szCs w:val="20"/>
        <w:lang w:val="en-US" w:eastAsia="zh-CN" w:bidi="ar-SA"/>
      </w:rPr>
      <w:t xml:space="preserve"> </w:t>
    </w:r>
    <w:r>
      <w:rPr>
        <w:rFonts w:hint="eastAsia" w:ascii="方正小标宋简体" w:hAnsi="方正小标宋简体" w:eastAsia="方正小标宋简体" w:cs="方正小标宋简体"/>
        <w:snapToGrid/>
        <w:color w:val="000000"/>
        <w:kern w:val="2"/>
        <w:szCs w:val="20"/>
        <w:lang w:val="en-US" w:eastAsia="zh-CN" w:bidi="ar-SA"/>
      </w:rPr>
      <w:t xml:space="preserve">  </w:t>
    </w:r>
    <w:r>
      <w:rPr>
        <w:rFonts w:hint="eastAsia" w:ascii="楷体_GB2312" w:hAnsi="等线" w:eastAsia="楷体_GB2312" w:cs="Times New Roman"/>
        <w:snapToGrid/>
        <w:color w:val="000000"/>
        <w:kern w:val="2"/>
        <w:szCs w:val="20"/>
        <w:lang w:val="en-US" w:eastAsia="zh-CN" w:bidi="ar-SA"/>
      </w:rPr>
      <w:t xml:space="preserve">  </w:t>
    </w:r>
  </w:p>
  <w:p w14:paraId="1FA54DB3"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9040"/>
      </w:tabs>
      <w:kinsoku w:val="0"/>
      <w:autoSpaceDE w:val="0"/>
      <w:autoSpaceDN w:val="0"/>
      <w:adjustRightInd w:val="0"/>
      <w:snapToGrid w:val="0"/>
      <w:spacing w:line="240" w:lineRule="auto"/>
      <w:ind w:right="-445" w:rightChars="-212"/>
      <w:jc w:val="both"/>
      <w:textAlignment w:val="baseline"/>
      <w:outlineLvl w:val="9"/>
      <w:rPr>
        <w:rFonts w:ascii="Arial" w:hAnsi="Arial" w:eastAsia="Arial" w:cs="Arial"/>
        <w:snapToGrid w:val="0"/>
        <w:color w:val="000000"/>
        <w:kern w:val="0"/>
        <w:sz w:val="18"/>
        <w:szCs w:val="21"/>
      </w:rPr>
    </w:pPr>
  </w:p>
  <w:p w14:paraId="14BE50E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mODJmZDk0NWRiMWY0N2UwNjVkOTA1NDY5YzRjYjAifQ=="/>
  </w:docVars>
  <w:rsids>
    <w:rsidRoot w:val="00000000"/>
    <w:rsid w:val="0C9E222B"/>
    <w:rsid w:val="17A623E4"/>
    <w:rsid w:val="4B4152F6"/>
    <w:rsid w:val="5BF6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2496</Words>
  <Characters>2623</Characters>
  <Lines>0</Lines>
  <Paragraphs>0</Paragraphs>
  <TotalTime>0</TotalTime>
  <ScaleCrop>false</ScaleCrop>
  <LinksUpToDate>false</LinksUpToDate>
  <CharactersWithSpaces>2644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2024-07-30T03:09:00Z</dcterms:created>
  <dc:creator>WLH</dc:creator>
  <cp:lastModifiedBy>坐看云起</cp:lastModifiedBy>
  <dcterms:modified xsi:type="dcterms:W3CDTF">2024-12-01T09:18:16Z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46D9C4FB0078435A8054BBBFEFFC4CD9_12</vt:lpwstr>
  </property>
</Properties>
</file>