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51A98">
      <w:pPr>
        <w:spacing w:line="323" w:lineRule="auto"/>
        <w:rPr>
          <w:rFonts w:ascii="Arial"/>
          <w:sz w:val="21"/>
        </w:rPr>
      </w:pPr>
    </w:p>
    <w:p w14:paraId="5ECCC33D">
      <w:pPr>
        <w:spacing w:before="114" w:line="226" w:lineRule="auto"/>
        <w:jc w:val="center"/>
        <w:outlineLvl w:val="0"/>
        <w:rPr>
          <w:rFonts w:hint="default" w:ascii="黑体" w:hAnsi="黑体" w:eastAsia="黑体" w:cs="黑体"/>
          <w:spacing w:val="9"/>
          <w:sz w:val="35"/>
          <w:szCs w:val="35"/>
          <w:lang w:val="en-US" w:eastAsia="zh-CN"/>
        </w:rPr>
      </w:pPr>
      <w:r>
        <w:rPr>
          <w:rFonts w:hint="eastAsia" w:ascii="黑体" w:hAnsi="黑体" w:eastAsia="黑体" w:cs="黑体"/>
          <w:spacing w:val="9"/>
          <w:sz w:val="35"/>
          <w:szCs w:val="35"/>
          <w:lang w:val="en-US" w:eastAsia="zh-CN"/>
        </w:rPr>
        <w:t>2020-2021学年</w:t>
      </w:r>
    </w:p>
    <w:p w14:paraId="47428E9D">
      <w:pPr>
        <w:spacing w:before="114" w:line="226" w:lineRule="auto"/>
        <w:ind w:left="2017"/>
        <w:outlineLvl w:val="0"/>
        <w:rPr>
          <w:rFonts w:ascii="黑体" w:hAnsi="黑体" w:eastAsia="黑体" w:cs="黑体"/>
          <w:sz w:val="35"/>
          <w:szCs w:val="35"/>
        </w:rPr>
      </w:pPr>
      <w:r>
        <w:rPr>
          <w:rFonts w:ascii="黑体" w:hAnsi="黑体" w:eastAsia="黑体" w:cs="黑体"/>
          <w:spacing w:val="9"/>
          <w:sz w:val="35"/>
          <w:szCs w:val="35"/>
        </w:rPr>
        <w:t>会计专业核心课程诊改报告</w:t>
      </w:r>
    </w:p>
    <w:p w14:paraId="27958CE3">
      <w:pPr>
        <w:spacing w:line="255" w:lineRule="auto"/>
        <w:rPr>
          <w:rFonts w:ascii="Arial"/>
          <w:sz w:val="21"/>
        </w:rPr>
      </w:pPr>
    </w:p>
    <w:p w14:paraId="7EE401AD">
      <w:pPr>
        <w:spacing w:line="255" w:lineRule="auto"/>
        <w:rPr>
          <w:rFonts w:ascii="Arial"/>
          <w:sz w:val="21"/>
        </w:rPr>
      </w:pPr>
    </w:p>
    <w:p w14:paraId="15BBB52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（一）课程定位</w:t>
      </w:r>
    </w:p>
    <w:p w14:paraId="3B5E567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课程设置合理。专业人才培养目标定位为向本地及周边中小企业提供面向小企业和会计服务行业，能从事会计、出纳、仓管、收银、文员等工作具有正确的世界观、人生观、价值观，熟悉岗位操作技能，具有良好职业道德、科学文化素养和综合职业能力、以及继续学习能力的高素质劳动者和初级技能型人才。根据企业调研结果，结合专家委员会论证，确定会计专业课程体系。其中，通过设置《职业基本技能》、《基础会计》、《财经法规与会计职业道德》三门专业基础课可以满足会计人员从业的基本能力要求。通过设置《财务会计》、《会计电算化》、《出纳会计实务》、《成本会计》、《会计综合实训》、《涉税业务办理》共六门核心课程聚焦培养学生全盘账会计处理、会计信息化应用、税收知识运用与纳税申报等核心能力。通过设置《会计信息系统实训》、《Excel在会计中的应用》、《技能考证》、《企业服务共享》等选修课进一步夯实学生的信息技术和常用会计信息系统操作等能力；同时《书法》、《礼仪》、《沟通技巧》、《统计基础》、《投资理财》等选修课程也是在广泛调研的基础上设置，以拓宽学生的专业知识面和基本素养，培养学生德智体美劳的全面发展。</w:t>
      </w:r>
    </w:p>
    <w:p w14:paraId="556A7F0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经专家委员会论证，一直认为按该课程体系培养的学生完全可以满足到目前佛山市中小企业和企业服务类公司基础会计人员的知识、素质和能力要求。</w:t>
      </w:r>
    </w:p>
    <w:p w14:paraId="4CA6175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（二）教学模式和内容</w:t>
      </w:r>
    </w:p>
    <w:p w14:paraId="6480058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本诊改年度，专业注重实践教学，按岗位工作技能安排教学模块，6门会计专业核心课程均为理实一体化课程，共659学时，其中实践学时为460学时。</w:t>
      </w:r>
    </w:p>
    <w:p w14:paraId="6A4CAF7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其中，《出纳实务》、《财务会计》、《涉税业务办理》均为1+X证书先修课程，《会计综合实训》、《会计电算化》为1+X证书课证融通课程。1+X证书的考核情况可以在较大程度上反映核心课程的教学质量。目前，专业试点的1+X《财务共享服务》第一次考核通过率98%，1+X《业财一体信息化》第一次考核通过率100%.此外，佛山市中职学校办学质量检查第三方考核项目也涵盖了《财务会计》、《财经法规与会计职业道德》、《会计电算化》、《Excel在会计中的应用》等专业主干课程。在2019年和2020年度的第三方考核中，我专业全市排名分别为第一名和第三名。</w:t>
      </w:r>
    </w:p>
    <w:p w14:paraId="3F0F847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（三）教学方法和手段</w:t>
      </w:r>
    </w:p>
    <w:p w14:paraId="35D00766">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在教学方法上，根据不同课程特点，专业课灵活采用多种教学方法，将课程内容按模块、任务方式呈现。同时引入现代化教学手段，包括制作微课、在线课程、配备相应教学软件，以提高课程的仿真度并拓展学习深度。目前，六门核心课程均已经建设在线课程并投入使用，有五门专业课均配备了相应的教学软件，有两门专业课有使用爱丁教学平板教学和练习。教学的广度和深度得到进一步拓展。</w:t>
      </w:r>
    </w:p>
    <w:p w14:paraId="22947B1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以《出纳实务》的现金收付结算为例，按照现金收入或支出的类型，对每一种具体业务类型课程都有相应情景的案例及仿真单据实训，包括手工账实训和《出纳实务》教学平台仿真实训，配合自建的智慧职教在线课程的微课、视频、作业、讨论、拓展阅读材料，使学生既能有效训练技能，也能在教师引导下动脑经思考，培养独立思考和分析判断能力。</w:t>
      </w:r>
    </w:p>
    <w:p w14:paraId="2A53FEB9">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校企合作课程均采用小组学习方式，企业兼职教师上课大量采用情景教学、案例教学；从企业带来真实的案例、真实的单据、报表供学生学习、探讨。</w:t>
      </w:r>
    </w:p>
    <w:p w14:paraId="09940560">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（四）教学活动是否有效</w:t>
      </w:r>
    </w:p>
    <w:p w14:paraId="5EB0449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一直以来，院校的会计专业课程设置和企业的实际工作日常始终存在着一定的出入，传统的会计专业课程在今天“大智移云”背景下，不能及时匹配满足会计、财务工作领域发生的天翻地覆的变化对会计岗位能力的新要求。这个不仅是大部分院校的普遍现象，在我校会计专业与校企合作单位的访谈中也进一步印证的这一点。</w:t>
      </w:r>
    </w:p>
    <w:p w14:paraId="6A04D71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目前，专业积极开展线上+线下，学做一体教学组织模式，通过定期、不定期抽查，检查教师的教案、备课、教学设计质量，通过对学生座谈、意见调查，了解教师教学质量，学生满意度，及学生对教师课堂的建议。</w:t>
      </w:r>
    </w:p>
    <w:p w14:paraId="0D63D038">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通过校企合作课程，将学校欠缺的企业实际工作场景的实操项目引入学校，由企业教师从一线工作的角度开展教学，弥补校内实践教学的不足。</w:t>
      </w:r>
    </w:p>
    <w:p w14:paraId="51947B0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开展1+X财务共享服务和业财一体信息化证书试点，将技能等级证书对应的技能点引入教学，通过培训评价组织的技术支持，提升教学的有效性和实用性。</w:t>
      </w:r>
    </w:p>
    <w:p w14:paraId="234B178F">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顶岗实习阶段，优先推荐学生到校企合作单位实习，提高学生实习的专业对口率，同时有利于校企协作管理。在顶岗实习管理平台上学生实习日志和实习单位意见中，均反映出在校期间学习的知识技能实用性强，单位满意度高。</w:t>
      </w:r>
    </w:p>
    <w:p w14:paraId="63C334D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（五）课程考核评价是否科学合理</w:t>
      </w:r>
    </w:p>
    <w:p w14:paraId="714553B4">
      <w:pPr>
        <w:pStyle w:val="2"/>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专业重视课程评价考核，在近两年对课程评价作出以下调整：</w:t>
      </w:r>
      <w:bookmarkStart w:id="0" w:name="_GoBack"/>
      <w:bookmarkEnd w:id="0"/>
    </w:p>
    <w:p w14:paraId="65EB38B4">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1.加强过程性考核，降低期中考试和期末考试在总评成绩中的比例，提高过程性考核成绩比例，如考勤、团结协作、回答问题、作业、实训项目完成情况等。具体比例参见相应的课程标准。</w:t>
      </w:r>
    </w:p>
    <w:p w14:paraId="42AEB4F5">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2.试行线上加线下相结合的考核。随着专业在智慧职教建设的一批核心、主干课程的在线课程投入使用，有一批课程开始使用线上加线下混合式教学。为了反映线上课程的学习质量，将线上学习的过程数据纳入总成绩。折算比例，将结合每门课的线上课程建设程度、使用量，由科组讨论决定。</w:t>
      </w:r>
    </w:p>
    <w:p w14:paraId="0D10E013">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3.双精准项目建设期间，专业使用项目资金采购了财务数据处理、T3云平台、财务共享服务技能测评、出纳实务、纳税核算与申报等教学平台并已投入教学使用。以上教学平台所对应的课程教学需要将教学平台中的学习数据纳入到课程评价结果中。</w:t>
      </w:r>
    </w:p>
    <w:p w14:paraId="096845F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4.校内外校外评价相结合。专业从2020年开始推行校企合作举办会计技能节，每个年级选定相应的科目由企业出题参与评价，已推行的有爱丁云教育科技有限公司参与的《会计职业技能》和《基础会计》，下一步，计划引入更多企业加入技能节的合作与评价，并将评价的范围扩大到有更多课程参与进来。</w:t>
      </w:r>
    </w:p>
    <w:p w14:paraId="3F38B4C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另外，在校企合作课程中，也建立了评价机制，由企业教师和学校教师共同评价学习小组的学习表现、综合素养等。</w:t>
      </w:r>
    </w:p>
    <w:p w14:paraId="2A8B4A2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期末，每个老师需要做成绩分析，对评价过程所覆盖的知识点、技能点、学生职业素养表现、总评成绩分布等情况作出书面小结。</w:t>
      </w:r>
    </w:p>
    <w:p w14:paraId="42661D8D">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目前，会计专业课程考核评价正在改革中，还有很多方面需要继续完善，也需要学校层面的大力推动和全体老师的全力配合。</w:t>
      </w:r>
    </w:p>
    <w:p w14:paraId="790E7167">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（六）课程建设标志性成果</w:t>
      </w:r>
    </w:p>
    <w:p w14:paraId="3693F451">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spacing w:val="0"/>
          <w:sz w:val="28"/>
          <w:szCs w:val="28"/>
        </w:rPr>
      </w:pPr>
      <w:r>
        <w:rPr>
          <w:rFonts w:hint="eastAsia" w:ascii="宋体" w:hAnsi="宋体" w:eastAsia="宋体" w:cs="宋体"/>
          <w:spacing w:val="0"/>
          <w:sz w:val="28"/>
          <w:szCs w:val="28"/>
        </w:rPr>
        <w:t>课程设置基本能满足中职学生会计岗位技能需求。已有3本校企合作校本教材、三门校企合作制定课程标准。核心课程基本覆盖在线课程，一门慕课准备开课。校企合作开发会计信息化实训资源一套，校企合作开发微课39个。</w:t>
      </w:r>
    </w:p>
    <w:sectPr>
      <w:headerReference r:id="rId5" w:type="default"/>
      <w:footerReference r:id="rId6" w:type="default"/>
      <w:pgSz w:w="11906" w:h="16839"/>
      <w:pgMar w:top="1431" w:right="1417" w:bottom="1417" w:left="1417" w:header="0"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99F39">
    <w:pPr>
      <w:spacing w:line="167" w:lineRule="auto"/>
      <w:ind w:left="4129"/>
      <w:rPr>
        <w:rFonts w:ascii="Calibri" w:hAnsi="Calibri" w:eastAsia="Calibri" w:cs="Calibri"/>
        <w:sz w:val="18"/>
        <w:szCs w:val="18"/>
      </w:rPr>
    </w:pPr>
    <w:r>
      <w:rPr>
        <w:rFonts w:ascii="Calibri" w:hAnsi="Calibri" w:eastAsia="Calibri" w:cs="Calibri"/>
        <w:sz w:val="18"/>
        <w:szCs w:val="18"/>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93CCB">
    <w:pPr>
      <w:pStyle w:val="3"/>
    </w:pPr>
  </w:p>
  <w:p w14:paraId="5CF850DD">
    <w:pPr>
      <w:pStyle w:val="3"/>
    </w:pPr>
  </w:p>
  <w:p w14:paraId="0518924C">
    <w:pPr>
      <w:pStyle w:val="3"/>
    </w:pPr>
  </w:p>
  <w:p w14:paraId="40C61E01">
    <w:pPr>
      <w:pStyle w:val="3"/>
    </w:pPr>
  </w:p>
  <w:p w14:paraId="6A63E794">
    <w:pPr>
      <w:widowControl w:val="0"/>
      <w:pBdr>
        <w:bottom w:val="single" w:color="auto" w:sz="4" w:space="0"/>
      </w:pBdr>
      <w:kinsoku/>
      <w:autoSpaceDE/>
      <w:autoSpaceDN/>
      <w:adjustRightInd/>
      <w:snapToGrid/>
      <w:spacing w:line="240" w:lineRule="auto"/>
      <w:ind w:left="326" w:leftChars="-295" w:right="31" w:rightChars="15" w:hanging="945" w:hangingChars="295"/>
      <w:jc w:val="distribute"/>
      <w:textAlignment w:val="auto"/>
      <w:rPr>
        <w:rFonts w:ascii="等线" w:hAnsi="等线" w:eastAsia="等线" w:cs="Times New Roman"/>
        <w:snapToGrid/>
        <w:kern w:val="2"/>
        <w:szCs w:val="20"/>
        <w:lang w:eastAsia="zh-CN"/>
      </w:rPr>
    </w:pPr>
    <w:r>
      <w:rPr>
        <w:rFonts w:hint="eastAsia" w:ascii="华文行楷" w:hAnsi="黑体" w:eastAsia="华文行楷" w:cs="Times New Roman"/>
        <w:b/>
        <w:snapToGrid/>
        <w:color w:val="00B050"/>
        <w:kern w:val="2"/>
        <w:sz w:val="32"/>
        <w:szCs w:val="32"/>
        <w:lang w:eastAsia="zh-CN"/>
      </w:rPr>
      <w:drawing>
        <wp:inline distT="0" distB="0" distL="114300" distR="114300">
          <wp:extent cx="297180" cy="297180"/>
          <wp:effectExtent l="0" t="0" r="7620" b="762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1"/>
                  <a:stretch>
                    <a:fillRect/>
                  </a:stretch>
                </pic:blipFill>
                <pic:spPr>
                  <a:xfrm>
                    <a:off x="0" y="0"/>
                    <a:ext cx="297180" cy="297180"/>
                  </a:xfrm>
                  <a:prstGeom prst="rect">
                    <a:avLst/>
                  </a:prstGeom>
                  <a:noFill/>
                  <a:ln>
                    <a:noFill/>
                  </a:ln>
                </pic:spPr>
              </pic:pic>
            </a:graphicData>
          </a:graphic>
        </wp:inline>
      </w:drawing>
    </w:r>
    <w:r>
      <w:rPr>
        <w:rFonts w:hint="eastAsia" w:ascii="华文行楷" w:hAnsi="黑体" w:eastAsia="华文行楷" w:cs="Times New Roman"/>
        <w:b/>
        <w:snapToGrid/>
        <w:color w:val="1D871D"/>
        <w:kern w:val="2"/>
        <w:sz w:val="32"/>
        <w:szCs w:val="32"/>
        <w:lang w:eastAsia="zh-CN"/>
      </w:rPr>
      <w:t>佛山市华材职业技术学校</w:t>
    </w:r>
    <w:r>
      <w:rPr>
        <w:rFonts w:hint="eastAsia" w:ascii="黑体" w:hAnsi="黑体" w:eastAsia="黑体" w:cs="黑体"/>
        <w:b/>
        <w:bCs/>
        <w:snapToGrid/>
        <w:color w:val="1D4B1C"/>
        <w:kern w:val="2"/>
        <w:sz w:val="21"/>
        <w:szCs w:val="21"/>
        <w:lang w:val="en-US" w:eastAsia="zh-CN"/>
      </w:rPr>
      <w:t>会计“双精准”示范专业建设佐证材料</w:t>
    </w:r>
  </w:p>
  <w:p w14:paraId="062DD7B0">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DFkN2U4MDNhY2FiYjgwMmZiMTFlZjJlZTg5MTMzNmMifQ=="/>
  </w:docVars>
  <w:rsids>
    <w:rsidRoot w:val="00000000"/>
    <w:rsid w:val="428E31FC"/>
    <w:rsid w:val="5E1E0A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8"/>
      <w:szCs w:val="28"/>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2538</Words>
  <Characters>2583</Characters>
  <TotalTime>4</TotalTime>
  <ScaleCrop>false</ScaleCrop>
  <LinksUpToDate>false</LinksUpToDate>
  <CharactersWithSpaces>2679</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2021-09-27T21:26:00Z</dcterms:created>
  <dc:creator>Acer</dc:creator>
  <cp:lastModifiedBy>坐看云起</cp:lastModifiedBy>
  <dcterms:modified xsi:type="dcterms:W3CDTF">2024-11-11T14:47:40Z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2024-11-11T22:41:49Z</vt:filetime>
  </property>
  <property fmtid="{D5CDD505-2E9C-101B-9397-08002B2CF9AE}" pid="4" name="KSOProductBuildVer">
    <vt:lpwstr>2052-12.1.0.18608</vt:lpwstr>
  </property>
  <property fmtid="{D5CDD505-2E9C-101B-9397-08002B2CF9AE}" pid="5" name="ICV">
    <vt:lpwstr>49997679B8D249ABA1D5F6C8F41656BF_13</vt:lpwstr>
  </property>
</Properties>
</file>