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1" w:lineRule="auto"/>
        <w:rPr>
          <w:rFonts w:ascii="Arial"/>
          <w:sz w:val="21"/>
        </w:rPr>
      </w:pPr>
    </w:p>
    <w:p>
      <w:pPr>
        <w:spacing w:before="114" w:line="224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spacing w:val="9"/>
          <w:sz w:val="35"/>
          <w:szCs w:val="35"/>
        </w:rPr>
        <w:t>佛山市华材职业技术学校</w:t>
      </w:r>
    </w:p>
    <w:p>
      <w:pPr>
        <w:spacing w:before="199" w:line="224" w:lineRule="auto"/>
        <w:jc w:val="center"/>
        <w:rPr>
          <w:rFonts w:ascii="宋体" w:hAnsi="宋体" w:eastAsia="宋体" w:cs="宋体"/>
          <w:sz w:val="35"/>
          <w:szCs w:val="35"/>
        </w:rPr>
      </w:pPr>
      <w:r>
        <w:rPr>
          <w:rFonts w:hint="eastAsia" w:ascii="宋体" w:hAnsi="宋体" w:eastAsia="宋体" w:cs="宋体"/>
          <w:b/>
          <w:bCs/>
          <w:spacing w:val="6"/>
          <w:sz w:val="35"/>
          <w:szCs w:val="35"/>
          <w:lang w:val="en-US" w:eastAsia="zh-CN"/>
        </w:rPr>
        <w:t>会计事务</w:t>
      </w:r>
      <w:r>
        <w:rPr>
          <w:rFonts w:ascii="宋体" w:hAnsi="宋体" w:eastAsia="宋体" w:cs="宋体"/>
          <w:b/>
          <w:bCs/>
          <w:spacing w:val="6"/>
          <w:sz w:val="35"/>
          <w:szCs w:val="35"/>
        </w:rPr>
        <w:t>专业建设目标达成度自评表</w:t>
      </w:r>
    </w:p>
    <w:p>
      <w:pPr>
        <w:spacing w:line="68" w:lineRule="exact"/>
      </w:pPr>
    </w:p>
    <w:tbl>
      <w:tblPr>
        <w:tblStyle w:val="7"/>
        <w:tblW w:w="9289" w:type="dxa"/>
        <w:tblInd w:w="419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799"/>
        <w:gridCol w:w="3513"/>
        <w:gridCol w:w="1516"/>
        <w:gridCol w:w="26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" w:hRule="atLeast"/>
        </w:trPr>
        <w:tc>
          <w:tcPr>
            <w:tcW w:w="1565" w:type="dxa"/>
            <w:gridSpan w:val="2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>
            <w:pPr>
              <w:pStyle w:val="8"/>
              <w:spacing w:before="159" w:line="228" w:lineRule="auto"/>
              <w:ind w:left="357"/>
              <w:outlineLvl w:val="0"/>
            </w:pPr>
            <w:r>
              <w:rPr>
                <w:b/>
                <w:bCs/>
                <w:spacing w:val="5"/>
              </w:rPr>
              <w:t>一级指标</w:t>
            </w:r>
          </w:p>
        </w:tc>
        <w:tc>
          <w:tcPr>
            <w:tcW w:w="3513" w:type="dxa"/>
            <w:tcBorders>
              <w:top w:val="single" w:color="000000" w:sz="10" w:space="0"/>
            </w:tcBorders>
            <w:vAlign w:val="top"/>
          </w:tcPr>
          <w:p>
            <w:pPr>
              <w:pStyle w:val="8"/>
              <w:spacing w:before="158" w:line="227" w:lineRule="auto"/>
              <w:ind w:left="117"/>
              <w:outlineLvl w:val="0"/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3.建设成果</w:t>
            </w:r>
          </w:p>
        </w:tc>
        <w:tc>
          <w:tcPr>
            <w:tcW w:w="1516" w:type="dxa"/>
            <w:tcBorders>
              <w:top w:val="single" w:color="000000" w:sz="10" w:space="0"/>
            </w:tcBorders>
            <w:vAlign w:val="top"/>
          </w:tcPr>
          <w:p>
            <w:pPr>
              <w:pStyle w:val="8"/>
              <w:spacing w:before="159" w:line="228" w:lineRule="auto"/>
              <w:ind w:left="343"/>
              <w:outlineLvl w:val="0"/>
            </w:pPr>
            <w:r>
              <w:rPr>
                <w:b/>
                <w:bCs/>
                <w:spacing w:val="5"/>
              </w:rPr>
              <w:t>二级指标</w:t>
            </w:r>
          </w:p>
        </w:tc>
        <w:tc>
          <w:tcPr>
            <w:tcW w:w="2695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>
            <w:pPr>
              <w:pStyle w:val="8"/>
              <w:spacing w:before="158" w:line="227" w:lineRule="auto"/>
              <w:ind w:left="117"/>
              <w:outlineLvl w:val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3.5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val="en-US" w:eastAsia="zh-CN"/>
              </w:rPr>
              <w:t>人才培养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</w:trPr>
        <w:tc>
          <w:tcPr>
            <w:tcW w:w="1565" w:type="dxa"/>
            <w:gridSpan w:val="2"/>
            <w:tcBorders>
              <w:left w:val="single" w:color="000000" w:sz="10" w:space="0"/>
            </w:tcBorders>
            <w:vAlign w:val="top"/>
          </w:tcPr>
          <w:p>
            <w:pPr>
              <w:pStyle w:val="8"/>
              <w:spacing w:before="250" w:line="228" w:lineRule="auto"/>
              <w:ind w:left="144"/>
            </w:pPr>
            <w:r>
              <w:rPr>
                <w:b/>
                <w:bCs/>
                <w:spacing w:val="6"/>
              </w:rPr>
              <w:t>主要建设目标</w:t>
            </w:r>
          </w:p>
        </w:tc>
        <w:tc>
          <w:tcPr>
            <w:tcW w:w="3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专业招生吸引力强，毕业生就业质量和满意度高、用人单位评价好。</w:t>
            </w:r>
          </w:p>
        </w:tc>
        <w:tc>
          <w:tcPr>
            <w:tcW w:w="1516" w:type="dxa"/>
            <w:vAlign w:val="top"/>
          </w:tcPr>
          <w:p>
            <w:pPr>
              <w:pStyle w:val="8"/>
              <w:spacing w:before="250" w:line="226" w:lineRule="auto"/>
              <w:ind w:left="339"/>
            </w:pPr>
            <w:r>
              <w:rPr>
                <w:b/>
                <w:bCs/>
                <w:spacing w:val="6"/>
              </w:rPr>
              <w:t>评价效果</w:t>
            </w:r>
          </w:p>
        </w:tc>
        <w:tc>
          <w:tcPr>
            <w:tcW w:w="2695" w:type="dxa"/>
            <w:tcBorders>
              <w:right w:val="single" w:color="000000" w:sz="10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000000"/>
                <w:kern w:val="0"/>
                <w:sz w:val="20"/>
                <w:szCs w:val="20"/>
                <w:lang w:val="en-US" w:eastAsia="zh-CN" w:bidi="ar"/>
              </w:rPr>
              <w:t>专业人才培养“优”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5" w:hRule="atLeast"/>
        </w:trPr>
        <w:tc>
          <w:tcPr>
            <w:tcW w:w="766" w:type="dxa"/>
            <w:tcBorders>
              <w:left w:val="single" w:color="000000" w:sz="10" w:space="0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8" w:lineRule="auto"/>
              <w:ind w:left="163" w:right="169" w:firstLine="2"/>
              <w:jc w:val="both"/>
            </w:pPr>
            <w:r>
              <w:rPr>
                <w:b/>
                <w:bCs/>
                <w:spacing w:val="3"/>
              </w:rPr>
              <w:t>主要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建设</w:t>
            </w:r>
            <w:r>
              <w:t xml:space="preserve"> </w:t>
            </w:r>
            <w:r>
              <w:rPr>
                <w:b/>
                <w:bCs/>
                <w:spacing w:val="4"/>
              </w:rPr>
              <w:t>任务</w:t>
            </w:r>
          </w:p>
        </w:tc>
        <w:tc>
          <w:tcPr>
            <w:tcW w:w="8523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提高应届毕业生专业相关证书通过率，达到省重点专业学生考证通过率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相关考证率达9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3.7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rFonts w:hint="eastAsia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(2)双证书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率统计表，双证书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率达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98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en-US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2.提高应届毕业生一次性对口就业率，达省重点专业要求。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(1)202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学年学生对口就业、升学率统计表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rFonts w:hint="eastAsia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(2)学生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初次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对口就业率为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87.50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rFonts w:hint="default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3.狠抓专业技能竞赛工作，争取更好成绩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-202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年度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学生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技能竞赛获奖一览表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2021-2024年参加行业企业竞赛一览表。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4.逐年提高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毕业生对母校满意度和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用人单位满意度。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(1)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毕业生对母校满意度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不断提高，达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99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 w:line="240" w:lineRule="auto"/>
              <w:textAlignment w:val="baseline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(2)202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3年（20届）企业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满意度不断提高，达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2" w:hRule="atLeast"/>
        </w:trPr>
        <w:tc>
          <w:tcPr>
            <w:tcW w:w="766" w:type="dxa"/>
            <w:tcBorders>
              <w:left w:val="single" w:color="000000" w:sz="10" w:space="0"/>
            </w:tcBorders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81" w:lineRule="auto"/>
              <w:ind w:left="165" w:right="169" w:firstLine="1"/>
              <w:jc w:val="both"/>
            </w:pPr>
            <w:r>
              <w:rPr>
                <w:b/>
                <w:bCs/>
                <w:spacing w:val="2"/>
              </w:rPr>
              <w:t>建设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目标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完成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情况</w:t>
            </w:r>
          </w:p>
        </w:tc>
        <w:tc>
          <w:tcPr>
            <w:tcW w:w="8523" w:type="dxa"/>
            <w:gridSpan w:val="4"/>
            <w:tcBorders>
              <w:right w:val="single" w:color="000000" w:sz="10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textAlignment w:val="baseline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专业建设了多通道成才的专业培养路径以满足学生升学、就业等职业成长需求，人才培养质量不断提升。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textAlignment w:val="baseline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1.2018级毕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业生96人，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双证书获取率91.67%；2019级毕业生120人，双证书获取率98.33%；2020级毕业生151人，双证书获取率97.35%；2021级毕业生178人，双证书获取率98.31%。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textAlignment w:val="baseline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2.2023年(20届)学生初次就业率为96.03%，初次对口就业率为84.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14%；2024年(21届)学生初次就业率为94.38%，初次对口就业率为87.50%；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textAlignment w:val="baseline"/>
              <w:rPr>
                <w:rFonts w:hint="default" w:ascii="宋体" w:hAnsi="宋体" w:eastAsia="宋体" w:cs="宋体"/>
                <w:color w:val="FF000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会计事务专业教师团队从2019年9月至2024年10月累计指导广东省职业院校学生专业技能大赛(中职组)共计获省级奖14项，其中省一等奖3项6人次，省二等奖8项24人次，省三等奖3项11人次；市级奖17项，其中市一等奖2项6人次，市二等奖7项21人次，市三等奖8项20人次；2021-2024年累计指导学生参加行业企业竞赛共计获一等奖8项19人次，二等奖7项11人次，三等奖3项8人次，优秀奖5项；教师参加</w:t>
            </w:r>
            <w:r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2022年广东省中等职业学校《会计数字化技能》邀请赛获团体一等奖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4.建设期内开展毕业生满意度调查，据最近统计数据来看，近三年毕业生对母校满意度分别达98.84%、97%、99%；用人单位满意度持续稳定100%。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1" w:hRule="atLeast"/>
        </w:trPr>
        <w:tc>
          <w:tcPr>
            <w:tcW w:w="766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65" w:line="279" w:lineRule="auto"/>
              <w:ind w:left="163" w:right="169"/>
              <w:jc w:val="both"/>
            </w:pPr>
            <w:r>
              <w:rPr>
                <w:b/>
                <w:bCs/>
                <w:spacing w:val="4"/>
              </w:rPr>
              <w:t>佐证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材料</w:t>
            </w:r>
            <w:r>
              <w:t xml:space="preserve"> </w:t>
            </w:r>
            <w:r>
              <w:rPr>
                <w:b/>
                <w:bCs/>
                <w:spacing w:val="3"/>
              </w:rPr>
              <w:t>目录</w:t>
            </w:r>
          </w:p>
        </w:tc>
        <w:tc>
          <w:tcPr>
            <w:tcW w:w="8523" w:type="dxa"/>
            <w:gridSpan w:val="4"/>
            <w:tcBorders>
              <w:bottom w:val="single" w:color="000000" w:sz="10" w:space="0"/>
              <w:right w:val="single" w:color="000000" w:sz="10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3.5.0 人才培养成果自评表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3.5.1 2017-2021级毕业生“双证书”获取率统计情况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3.5.2 应届毕业生初次就业率、应届毕业生初次对口就业率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3.5.3 会计专业学生技能竞赛、行业企业竞赛获奖情况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3.5.4 2021-2023年毕业生对母校满意度调查表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after="0" w:afterLines="50"/>
              <w:jc w:val="left"/>
              <w:textAlignment w:val="baseline"/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3.5.5 2021-2023年企业满意度调查表</w:t>
            </w:r>
          </w:p>
          <w:p>
            <w:pPr>
              <w:widowControl w:val="0"/>
              <w:snapToGrid w:val="0"/>
              <w:spacing w:line="240" w:lineRule="atLeast"/>
              <w:rPr>
                <w:rFonts w:hint="default" w:ascii="仿宋_GB2312" w:hAnsi="仿宋_GB2312" w:eastAsia="仿宋_GB2312" w:cs="仿宋_GB2312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pgSz w:w="11906" w:h="16839"/>
      <w:pgMar w:top="710" w:right="825" w:bottom="0" w:left="700" w:header="850" w:footer="96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11BB8C9-CADC-42B0-AB25-40A12919A6D0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520A8A7-BE4A-471F-90FF-7C471D9E64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A1947FC8-8D55-42A6-B8A8-BEDF455258D2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4" w:fontKey="{6F061F7A-15C2-4CD6-B869-3DD1C8CB6AFC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0EFDC8A9-61E5-43AC-B249-6A02DC4F5244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C3285176-783A-4541-98BC-1B078D6D3C1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4" w:space="0"/>
      </w:pBdr>
      <w:ind w:left="326" w:leftChars="-295" w:right="31" w:rightChars="15" w:hanging="945" w:hangingChars="295"/>
      <w:jc w:val="distribute"/>
    </w:pPr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楷体_GB2312" w:eastAsia="楷体_GB2312"/>
      </w:rPr>
      <w:t xml:space="preserve">  </w:t>
    </w:r>
    <w:r>
      <w:rPr>
        <w:rFonts w:hint="eastAsia" w:ascii="楷体_GB2312" w:eastAsia="楷体_GB2312"/>
        <w:lang w:val="en-US" w:eastAsia="zh-CN"/>
      </w:rPr>
      <w:t xml:space="preserve">     </w:t>
    </w:r>
    <w:r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  <w:t>会计“双精准”示范专业建设佐证材料</w:t>
    </w:r>
    <w:r>
      <w:rPr>
        <w:rFonts w:hint="eastAsia" w:ascii="方正小标宋简体" w:hAnsi="方正小标宋简体" w:eastAsia="方正小标宋简体" w:cs="方正小标宋简体"/>
        <w:color w:val="1D4B1C"/>
      </w:rPr>
      <w:t xml:space="preserve"> </w:t>
    </w:r>
    <w:r>
      <w:rPr>
        <w:rFonts w:hint="eastAsia" w:ascii="方正小标宋简体" w:hAnsi="方正小标宋简体" w:eastAsia="方正小标宋简体" w:cs="方正小标宋简体"/>
      </w:rPr>
      <w:t xml:space="preserve">  </w:t>
    </w:r>
    <w:r>
      <w:rPr>
        <w:rFonts w:hint="eastAsia" w:ascii="楷体_GB2312" w:eastAsia="楷体_GB2312"/>
      </w:rP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GRlN2U3NjU0MDVmOTRhOTIzYTJjYmU1MDUwZTAzZmIifQ=="/>
  </w:docVars>
  <w:rsids>
    <w:rsidRoot w:val="00000000"/>
    <w:rsid w:val="037A38B5"/>
    <w:rsid w:val="046C750A"/>
    <w:rsid w:val="05B11678"/>
    <w:rsid w:val="06021ED4"/>
    <w:rsid w:val="08653C76"/>
    <w:rsid w:val="11360CB0"/>
    <w:rsid w:val="18E9476E"/>
    <w:rsid w:val="1A722F70"/>
    <w:rsid w:val="1A7246DF"/>
    <w:rsid w:val="1AE36E60"/>
    <w:rsid w:val="1B8511D6"/>
    <w:rsid w:val="1C2E5379"/>
    <w:rsid w:val="1D6E3A3E"/>
    <w:rsid w:val="219E6AFD"/>
    <w:rsid w:val="238C0BD7"/>
    <w:rsid w:val="26131678"/>
    <w:rsid w:val="281D62A2"/>
    <w:rsid w:val="28ED036A"/>
    <w:rsid w:val="2A8F2464"/>
    <w:rsid w:val="3363772A"/>
    <w:rsid w:val="3442156A"/>
    <w:rsid w:val="36FD3E6E"/>
    <w:rsid w:val="3F6A0346"/>
    <w:rsid w:val="3FA530A3"/>
    <w:rsid w:val="3FD95C77"/>
    <w:rsid w:val="40BF382B"/>
    <w:rsid w:val="417D0085"/>
    <w:rsid w:val="41D47856"/>
    <w:rsid w:val="431A7B56"/>
    <w:rsid w:val="463B6C0A"/>
    <w:rsid w:val="467001B9"/>
    <w:rsid w:val="48764ECC"/>
    <w:rsid w:val="4A4831FA"/>
    <w:rsid w:val="4CB16E35"/>
    <w:rsid w:val="4D2E0486"/>
    <w:rsid w:val="51AE6039"/>
    <w:rsid w:val="57B7351B"/>
    <w:rsid w:val="590F635A"/>
    <w:rsid w:val="60CE7B5E"/>
    <w:rsid w:val="619B2C6C"/>
    <w:rsid w:val="66216982"/>
    <w:rsid w:val="665A26D0"/>
    <w:rsid w:val="6AD148E8"/>
    <w:rsid w:val="6CD37D92"/>
    <w:rsid w:val="707324D0"/>
    <w:rsid w:val="72B00544"/>
    <w:rsid w:val="741814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Lines="0" w:beforeAutospacing="1" w:after="100" w:afterLines="0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847</Words>
  <Characters>1058</Characters>
  <TotalTime>4</TotalTime>
  <ScaleCrop>false</ScaleCrop>
  <LinksUpToDate>false</LinksUpToDate>
  <CharactersWithSpaces>1076</CharactersWithSpaces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2023-11-15T18:21:00Z</dcterms:created>
  <dc:creator>ZP</dc:creator>
  <cp:lastModifiedBy>xuan_n</cp:lastModifiedBy>
  <dcterms:modified xsi:type="dcterms:W3CDTF">2024-12-09T08:26:23Z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2024-11-12T15:50:01Z</vt:filetime>
  </property>
  <property fmtid="{D5CDD505-2E9C-101B-9397-08002B2CF9AE}" pid="4" name="KSOProductBuildVer">
    <vt:lpwstr>2052-12.1.0.16388</vt:lpwstr>
  </property>
  <property fmtid="{D5CDD505-2E9C-101B-9397-08002B2CF9AE}" pid="5" name="ICV">
    <vt:lpwstr>75ECDAE7BD25479D90C0CE855CA7309E_13</vt:lpwstr>
  </property>
</Properties>
</file>