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2613D">
      <w:pPr>
        <w:spacing w:line="241" w:lineRule="auto"/>
      </w:pPr>
    </w:p>
    <w:p w14:paraId="5914EA47">
      <w:pPr>
        <w:spacing w:before="114" w:line="224" w:lineRule="auto"/>
        <w:jc w:val="center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ascii="宋体" w:hAnsi="宋体" w:eastAsia="宋体" w:cs="宋体"/>
          <w:spacing w:val="9"/>
          <w:sz w:val="35"/>
          <w:szCs w:val="35"/>
          <w:lang w:eastAsia="zh-CN"/>
        </w:rPr>
        <w:t>佛山市华材职业技术学校</w:t>
      </w:r>
    </w:p>
    <w:p w14:paraId="549A0702">
      <w:pPr>
        <w:spacing w:before="199" w:line="224" w:lineRule="auto"/>
        <w:jc w:val="center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5"/>
          <w:szCs w:val="35"/>
          <w:lang w:eastAsia="zh-CN"/>
        </w:rPr>
        <w:t>会计事务</w:t>
      </w:r>
      <w:r>
        <w:rPr>
          <w:rFonts w:ascii="宋体" w:hAnsi="宋体" w:eastAsia="宋体" w:cs="宋体"/>
          <w:b/>
          <w:bCs/>
          <w:spacing w:val="6"/>
          <w:sz w:val="35"/>
          <w:szCs w:val="35"/>
          <w:lang w:eastAsia="zh-CN"/>
        </w:rPr>
        <w:t>专业建设目标达成度自评表</w:t>
      </w:r>
    </w:p>
    <w:p w14:paraId="1ACC3194">
      <w:pPr>
        <w:spacing w:line="68" w:lineRule="exact"/>
        <w:rPr>
          <w:lang w:eastAsia="zh-CN"/>
        </w:rPr>
      </w:pPr>
    </w:p>
    <w:tbl>
      <w:tblPr>
        <w:tblStyle w:val="6"/>
        <w:tblW w:w="92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799"/>
        <w:gridCol w:w="3513"/>
        <w:gridCol w:w="1516"/>
        <w:gridCol w:w="2695"/>
      </w:tblGrid>
      <w:tr w14:paraId="0E8A86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565" w:type="dxa"/>
            <w:gridSpan w:val="2"/>
            <w:tcBorders>
              <w:top w:val="single" w:color="000000" w:sz="10" w:space="0"/>
              <w:left w:val="single" w:color="000000" w:sz="10" w:space="0"/>
            </w:tcBorders>
          </w:tcPr>
          <w:p w14:paraId="2B9C841D">
            <w:pPr>
              <w:pStyle w:val="7"/>
              <w:spacing w:before="159" w:line="228" w:lineRule="auto"/>
              <w:ind w:left="357"/>
              <w:outlineLvl w:val="0"/>
            </w:pPr>
            <w:r>
              <w:rPr>
                <w:b/>
                <w:bCs/>
                <w:spacing w:val="5"/>
              </w:rPr>
              <w:t>一级指标</w:t>
            </w:r>
          </w:p>
        </w:tc>
        <w:tc>
          <w:tcPr>
            <w:tcW w:w="3513" w:type="dxa"/>
            <w:tcBorders>
              <w:top w:val="single" w:color="000000" w:sz="10" w:space="0"/>
            </w:tcBorders>
            <w:vAlign w:val="center"/>
          </w:tcPr>
          <w:p w14:paraId="3BA68EC6">
            <w:pPr>
              <w:pStyle w:val="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建设成果</w:t>
            </w:r>
          </w:p>
        </w:tc>
        <w:tc>
          <w:tcPr>
            <w:tcW w:w="1516" w:type="dxa"/>
            <w:tcBorders>
              <w:top w:val="single" w:color="000000" w:sz="10" w:space="0"/>
            </w:tcBorders>
          </w:tcPr>
          <w:p w14:paraId="591178A5">
            <w:pPr>
              <w:pStyle w:val="7"/>
              <w:spacing w:before="159" w:line="228" w:lineRule="auto"/>
              <w:ind w:left="343"/>
              <w:outlineLvl w:val="0"/>
            </w:pPr>
            <w:r>
              <w:rPr>
                <w:b/>
                <w:bCs/>
                <w:spacing w:val="5"/>
              </w:rPr>
              <w:t>二级指标</w:t>
            </w:r>
          </w:p>
        </w:tc>
        <w:tc>
          <w:tcPr>
            <w:tcW w:w="2695" w:type="dxa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2DC1FA1C">
            <w:pPr>
              <w:pStyle w:val="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.1目标定位</w:t>
            </w:r>
          </w:p>
        </w:tc>
      </w:tr>
      <w:tr w14:paraId="4AD40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565" w:type="dxa"/>
            <w:gridSpan w:val="2"/>
            <w:tcBorders>
              <w:left w:val="single" w:color="000000" w:sz="10" w:space="0"/>
            </w:tcBorders>
          </w:tcPr>
          <w:p w14:paraId="18FA33E0">
            <w:pPr>
              <w:pStyle w:val="7"/>
              <w:spacing w:before="250" w:line="228" w:lineRule="auto"/>
              <w:ind w:left="144"/>
            </w:pPr>
            <w:r>
              <w:rPr>
                <w:b/>
                <w:bCs/>
                <w:spacing w:val="6"/>
              </w:rPr>
              <w:t>主要建设目标</w:t>
            </w:r>
          </w:p>
        </w:tc>
        <w:tc>
          <w:tcPr>
            <w:tcW w:w="3513" w:type="dxa"/>
          </w:tcPr>
          <w:p w14:paraId="6EDA5908">
            <w:pPr>
              <w:pStyle w:val="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专业办学定位、人才培养目标符合行业产业和区域经济社会发展需要，精准对接我省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、我市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重点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规划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产业。</w:t>
            </w:r>
          </w:p>
        </w:tc>
        <w:tc>
          <w:tcPr>
            <w:tcW w:w="1516" w:type="dxa"/>
          </w:tcPr>
          <w:p w14:paraId="7D9C5D4B">
            <w:pPr>
              <w:pStyle w:val="7"/>
              <w:spacing w:before="250" w:line="226" w:lineRule="auto"/>
              <w:ind w:left="339"/>
            </w:pPr>
            <w:r>
              <w:rPr>
                <w:b/>
                <w:bCs/>
                <w:spacing w:val="6"/>
              </w:rPr>
              <w:t>评价效果</w:t>
            </w:r>
          </w:p>
        </w:tc>
        <w:tc>
          <w:tcPr>
            <w:tcW w:w="2695" w:type="dxa"/>
            <w:tcBorders>
              <w:right w:val="single" w:color="000000" w:sz="10" w:space="0"/>
            </w:tcBorders>
            <w:vAlign w:val="center"/>
          </w:tcPr>
          <w:p w14:paraId="54F3479D">
            <w:pPr>
              <w:pStyle w:val="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专业目标定位准</w:t>
            </w:r>
          </w:p>
        </w:tc>
      </w:tr>
      <w:tr w14:paraId="29637B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  <w:jc w:val="center"/>
        </w:trPr>
        <w:tc>
          <w:tcPr>
            <w:tcW w:w="766" w:type="dxa"/>
            <w:tcBorders>
              <w:left w:val="single" w:color="000000" w:sz="10" w:space="0"/>
            </w:tcBorders>
          </w:tcPr>
          <w:p w14:paraId="6AE17C91">
            <w:pPr>
              <w:spacing w:line="260" w:lineRule="auto"/>
            </w:pPr>
          </w:p>
          <w:p w14:paraId="51297503">
            <w:pPr>
              <w:spacing w:line="260" w:lineRule="auto"/>
            </w:pPr>
          </w:p>
          <w:p w14:paraId="59C42009">
            <w:pPr>
              <w:spacing w:line="260" w:lineRule="auto"/>
            </w:pPr>
          </w:p>
          <w:p w14:paraId="3161CF8E">
            <w:pPr>
              <w:spacing w:line="260" w:lineRule="auto"/>
            </w:pPr>
          </w:p>
          <w:p w14:paraId="72A96553">
            <w:pPr>
              <w:spacing w:line="261" w:lineRule="auto"/>
            </w:pPr>
          </w:p>
          <w:p w14:paraId="64418FD1">
            <w:pPr>
              <w:pStyle w:val="7"/>
              <w:spacing w:before="65" w:line="278" w:lineRule="auto"/>
              <w:ind w:left="163" w:right="169" w:firstLine="2"/>
              <w:jc w:val="both"/>
            </w:pPr>
            <w:r>
              <w:rPr>
                <w:b/>
                <w:bCs/>
                <w:spacing w:val="3"/>
              </w:rPr>
              <w:t>主要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建设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任务</w:t>
            </w:r>
          </w:p>
        </w:tc>
        <w:tc>
          <w:tcPr>
            <w:tcW w:w="8523" w:type="dxa"/>
            <w:gridSpan w:val="4"/>
            <w:tcBorders>
              <w:right w:val="single" w:color="000000" w:sz="10" w:space="0"/>
            </w:tcBorders>
          </w:tcPr>
          <w:p w14:paraId="279BB951">
            <w:pPr>
              <w:pStyle w:val="8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组织常态化专业建设调研，编写会计事务专业调研报告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，作为制定会计专业人才培养方案的重要依据。</w:t>
            </w:r>
          </w:p>
          <w:p w14:paraId="59E40F1F">
            <w:pPr>
              <w:pStyle w:val="8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紧扣区域社会经发展的需要，准确定位专业建设和人才培养目标，制定会计事务专业人才培养方案。</w:t>
            </w:r>
          </w:p>
          <w:p w14:paraId="62D09919">
            <w:pPr>
              <w:pStyle w:val="8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完善专业建设委员会的运作机制，通过专业建设论证会等形式，切实发挥专业建设委员会的引领和把关作用。</w:t>
            </w:r>
          </w:p>
          <w:p w14:paraId="077F0346">
            <w:pPr>
              <w:pStyle w:val="7"/>
              <w:spacing w:before="113" w:line="228" w:lineRule="auto"/>
              <w:ind w:left="109"/>
              <w:rPr>
                <w:lang w:eastAsia="zh-CN"/>
              </w:rPr>
            </w:pPr>
          </w:p>
        </w:tc>
      </w:tr>
      <w:tr w14:paraId="21E5EA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  <w:jc w:val="center"/>
        </w:trPr>
        <w:tc>
          <w:tcPr>
            <w:tcW w:w="766" w:type="dxa"/>
            <w:tcBorders>
              <w:left w:val="single" w:color="000000" w:sz="10" w:space="0"/>
            </w:tcBorders>
          </w:tcPr>
          <w:p w14:paraId="6FF4FD7B">
            <w:pPr>
              <w:spacing w:line="266" w:lineRule="auto"/>
              <w:rPr>
                <w:lang w:eastAsia="zh-CN"/>
              </w:rPr>
            </w:pPr>
          </w:p>
          <w:p w14:paraId="41A45DF3">
            <w:pPr>
              <w:spacing w:line="266" w:lineRule="auto"/>
              <w:rPr>
                <w:lang w:eastAsia="zh-CN"/>
              </w:rPr>
            </w:pPr>
          </w:p>
          <w:p w14:paraId="17CFC65A">
            <w:pPr>
              <w:spacing w:line="266" w:lineRule="auto"/>
              <w:rPr>
                <w:lang w:eastAsia="zh-CN"/>
              </w:rPr>
            </w:pPr>
          </w:p>
          <w:p w14:paraId="0DAF0D3E">
            <w:pPr>
              <w:spacing w:line="266" w:lineRule="auto"/>
              <w:rPr>
                <w:lang w:eastAsia="zh-CN"/>
              </w:rPr>
            </w:pPr>
          </w:p>
          <w:p w14:paraId="68243F8B">
            <w:pPr>
              <w:spacing w:line="267" w:lineRule="auto"/>
              <w:rPr>
                <w:lang w:eastAsia="zh-CN"/>
              </w:rPr>
            </w:pPr>
          </w:p>
          <w:p w14:paraId="2EE06DD6">
            <w:pPr>
              <w:pStyle w:val="7"/>
              <w:spacing w:before="65" w:line="281" w:lineRule="auto"/>
              <w:ind w:left="165" w:right="169" w:firstLine="1"/>
              <w:jc w:val="both"/>
            </w:pPr>
            <w:r>
              <w:rPr>
                <w:b/>
                <w:bCs/>
                <w:spacing w:val="2"/>
              </w:rPr>
              <w:t>建设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目标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完成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情况</w:t>
            </w:r>
          </w:p>
        </w:tc>
        <w:tc>
          <w:tcPr>
            <w:tcW w:w="8523" w:type="dxa"/>
            <w:gridSpan w:val="4"/>
            <w:tcBorders>
              <w:right w:val="single" w:color="000000" w:sz="10" w:space="0"/>
            </w:tcBorders>
          </w:tcPr>
          <w:p w14:paraId="78902B01">
            <w:pPr>
              <w:pStyle w:val="8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每年均组织专业建设调研，生成会计事务专业建设调研报告，职业能力分析报告。明确专业立足区域产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经济转型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升级，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区域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现代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服务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增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量提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，培养从事会计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核算、业财管理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等岗位工作，德智体美劳全面发展兼具终生学习和持续发展能力的初、中级专门人才。</w:t>
            </w:r>
          </w:p>
          <w:p w14:paraId="438CEEE9">
            <w:pPr>
              <w:pStyle w:val="8"/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通过调研数据、校企专家论证、学校审核等严格程序，编制各年级专业人才培养方案。</w:t>
            </w:r>
          </w:p>
          <w:p w14:paraId="7F65FC0B">
            <w:pPr>
              <w:pStyle w:val="8"/>
              <w:ind w:firstLine="420" w:firstLineChars="200"/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动态更新专业建设委员会，主要通过论证会、咨询会等形式，充分发挥企业专家在专业建设中的引领和把关作用。</w:t>
            </w:r>
            <w:bookmarkStart w:id="0" w:name="_GoBack"/>
            <w:bookmarkEnd w:id="0"/>
          </w:p>
        </w:tc>
      </w:tr>
      <w:tr w14:paraId="1D9051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  <w:jc w:val="center"/>
        </w:trPr>
        <w:tc>
          <w:tcPr>
            <w:tcW w:w="766" w:type="dxa"/>
            <w:tcBorders>
              <w:left w:val="single" w:color="000000" w:sz="10" w:space="0"/>
              <w:bottom w:val="single" w:color="000000" w:sz="10" w:space="0"/>
            </w:tcBorders>
          </w:tcPr>
          <w:p w14:paraId="6A7FBCE1">
            <w:pPr>
              <w:spacing w:line="261" w:lineRule="auto"/>
              <w:rPr>
                <w:lang w:eastAsia="zh-CN"/>
              </w:rPr>
            </w:pPr>
          </w:p>
          <w:p w14:paraId="1F533A29">
            <w:pPr>
              <w:spacing w:line="261" w:lineRule="auto"/>
              <w:rPr>
                <w:lang w:eastAsia="zh-CN"/>
              </w:rPr>
            </w:pPr>
          </w:p>
          <w:p w14:paraId="2F45DA5C">
            <w:pPr>
              <w:spacing w:line="262" w:lineRule="auto"/>
              <w:rPr>
                <w:lang w:eastAsia="zh-CN"/>
              </w:rPr>
            </w:pPr>
          </w:p>
          <w:p w14:paraId="076BCD91">
            <w:pPr>
              <w:pStyle w:val="7"/>
              <w:spacing w:before="65" w:line="279" w:lineRule="auto"/>
              <w:ind w:left="163" w:right="169"/>
              <w:jc w:val="both"/>
            </w:pPr>
            <w:r>
              <w:rPr>
                <w:b/>
                <w:bCs/>
                <w:spacing w:val="4"/>
              </w:rPr>
              <w:t>佐证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材料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目录</w:t>
            </w:r>
          </w:p>
        </w:tc>
        <w:tc>
          <w:tcPr>
            <w:tcW w:w="8523" w:type="dxa"/>
            <w:gridSpan w:val="4"/>
            <w:tcBorders>
              <w:bottom w:val="single" w:color="000000" w:sz="10" w:space="0"/>
              <w:right w:val="single" w:color="000000" w:sz="10" w:space="0"/>
            </w:tcBorders>
          </w:tcPr>
          <w:p w14:paraId="2D788BE5">
            <w:pPr>
              <w:pStyle w:val="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.0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会计事务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专业建设目标达成度自评表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</w:p>
          <w:p w14:paraId="47658DC2">
            <w:pPr>
              <w:pStyle w:val="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3.1.1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会计专业调研机制制度、报告、方案</w:t>
            </w:r>
          </w:p>
          <w:p w14:paraId="5A909E79">
            <w:pPr>
              <w:pStyle w:val="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.1.2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会计专业建设指导委员会制度</w:t>
            </w:r>
          </w:p>
          <w:p w14:paraId="5A9E1A97">
            <w:pPr>
              <w:pStyle w:val="8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.1.3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华材职校会计事务专业调研过程材料</w:t>
            </w:r>
          </w:p>
          <w:p w14:paraId="577C3613">
            <w:pPr>
              <w:pStyle w:val="8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3.1.4 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年会计事务专业建设指导委员会会议安排、会议记录及签到表</w:t>
            </w:r>
          </w:p>
          <w:p w14:paraId="68701054">
            <w:pPr>
              <w:pStyle w:val="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2023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年会计事务专业建设指导委员会会议安排、会议记录及签到表</w:t>
            </w:r>
          </w:p>
          <w:p w14:paraId="264021A5">
            <w:pPr>
              <w:pStyle w:val="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6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2022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年会计事务专业建设指导委员会会议安排、会议记录及签到表</w:t>
            </w:r>
          </w:p>
          <w:p w14:paraId="45E69532">
            <w:pPr>
              <w:pStyle w:val="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7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2021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年会计事务专业建设指导委员会会议安排、会议记录及签到表</w:t>
            </w:r>
          </w:p>
          <w:p w14:paraId="36FDA29D">
            <w:pPr>
              <w:pStyle w:val="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2020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年会计专业建设指导委员会会议安排、会议记录及签到表</w:t>
            </w:r>
          </w:p>
          <w:p w14:paraId="583EFA9F">
            <w:pPr>
              <w:pStyle w:val="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2019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年会计专业建设指导委员会会议安排、会议记录及签到表</w:t>
            </w:r>
          </w:p>
          <w:p w14:paraId="61F8C81C">
            <w:pPr>
              <w:pStyle w:val="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10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2023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年华材职校会计事务专业人才培养调研报告3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.1</w:t>
            </w:r>
          </w:p>
          <w:p w14:paraId="3CF03D56">
            <w:pPr>
              <w:pStyle w:val="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3.1.1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2022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年华材职校会计事务专业人才培养调研报告</w:t>
            </w:r>
          </w:p>
          <w:p w14:paraId="48EDEB17">
            <w:pPr>
              <w:pStyle w:val="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.1.1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2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2021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年华材职校会计事务专业人才培养调研报告</w:t>
            </w:r>
          </w:p>
          <w:p w14:paraId="72E2FD28">
            <w:pPr>
              <w:pStyle w:val="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.1.1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3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2020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年华材职校会计专业人才培养调研报告</w:t>
            </w:r>
          </w:p>
          <w:p w14:paraId="02366C61">
            <w:pPr>
              <w:pStyle w:val="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3.1.1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4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2023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年华材职校会计事务专业职业能力分析报告</w:t>
            </w:r>
          </w:p>
          <w:p w14:paraId="2ED9BC1F">
            <w:pPr>
              <w:pStyle w:val="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3.1.1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5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2022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年华材职校会计事务专业职业能力分析报告</w:t>
            </w:r>
          </w:p>
          <w:p w14:paraId="63E41230">
            <w:pPr>
              <w:pStyle w:val="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3.1.1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6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2021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年华材职校会计事务专业职业能力分析报告</w:t>
            </w:r>
          </w:p>
          <w:p w14:paraId="4BC4F44D">
            <w:pPr>
              <w:pStyle w:val="8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3.1.1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2020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年华材职校会计专业职业能力分析报告</w:t>
            </w:r>
          </w:p>
          <w:p w14:paraId="0B25E4CE">
            <w:pPr>
              <w:pStyle w:val="8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3.1.18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202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年会计事务专业人才培养方案</w:t>
            </w:r>
          </w:p>
          <w:p w14:paraId="2960D4FA">
            <w:pPr>
              <w:pStyle w:val="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3.1.1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9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2023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年会计事务专业人才培养方案</w:t>
            </w:r>
          </w:p>
          <w:p w14:paraId="50441AC8">
            <w:pPr>
              <w:pStyle w:val="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2022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年会计事务专业人才培养方案</w:t>
            </w:r>
          </w:p>
          <w:p w14:paraId="6A4778BF">
            <w:pPr>
              <w:pStyle w:val="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21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2021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年会计事务专业人才培养方案</w:t>
            </w:r>
          </w:p>
          <w:p w14:paraId="5B8C6718">
            <w:pPr>
              <w:pStyle w:val="8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3.1.2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2 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2020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年会计事务专业人才培养方案</w:t>
            </w:r>
          </w:p>
          <w:p w14:paraId="5ADAA182">
            <w:pPr>
              <w:pStyle w:val="8"/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3.1.2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2019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年会计事务专业人才培养方案</w:t>
            </w:r>
          </w:p>
        </w:tc>
      </w:tr>
    </w:tbl>
    <w:p w14:paraId="787F5244">
      <w:pPr>
        <w:rPr>
          <w:lang w:eastAsia="zh-CN"/>
        </w:rPr>
      </w:pPr>
    </w:p>
    <w:sectPr>
      <w:headerReference r:id="rId3" w:type="default"/>
      <w:pgSz w:w="11906" w:h="16839"/>
      <w:pgMar w:top="710" w:right="825" w:bottom="0" w:left="700" w:header="850" w:footer="96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E3E1A32-C723-4B2E-9AB0-B0FBF8BBD55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2" w:fontKey="{6EE89807-E239-49C8-B974-23C4032815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78A83E60-BC08-4B7A-B4A5-0FFDA5433EF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82FC81A2-B092-4DAD-A611-43226A005D2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86DE5E68-1120-4564-8474-ED38DF53B0F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3F7F8">
    <w:pPr>
      <w:pBdr>
        <w:bottom w:val="single" w:color="auto" w:sz="4" w:space="0"/>
      </w:pBdr>
      <w:ind w:left="326" w:leftChars="-295" w:right="31" w:rightChars="15" w:hanging="945" w:hangingChars="295"/>
      <w:jc w:val="distribute"/>
      <w:rPr>
        <w:lang w:eastAsia="zh-CN"/>
      </w:rPr>
    </w:pPr>
    <w:r>
      <w:rPr>
        <w:rFonts w:hint="eastAsia" w:ascii="华文行楷" w:hAnsi="黑体" w:eastAsia="华文行楷"/>
        <w:b/>
        <w:color w:val="00B050"/>
        <w:sz w:val="32"/>
        <w:szCs w:val="32"/>
        <w:lang w:eastAsia="zh-CN"/>
      </w:rPr>
      <w:drawing>
        <wp:inline distT="0" distB="0" distL="114300" distR="114300">
          <wp:extent cx="297180" cy="297180"/>
          <wp:effectExtent l="0" t="0" r="7620" b="7620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8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华文行楷" w:hAnsi="黑体" w:eastAsia="华文行楷"/>
        <w:b/>
        <w:color w:val="1D871D"/>
        <w:sz w:val="32"/>
        <w:szCs w:val="32"/>
        <w:lang w:eastAsia="zh-CN"/>
      </w:rPr>
      <w:t>佛山市华材职业技术学校</w:t>
    </w:r>
    <w:r>
      <w:rPr>
        <w:rFonts w:hint="eastAsia" w:ascii="楷体_GB2312" w:eastAsia="楷体_GB2312"/>
        <w:lang w:eastAsia="zh-CN"/>
      </w:rPr>
      <w:t xml:space="preserve">       </w:t>
    </w:r>
    <w:r>
      <w:rPr>
        <w:rFonts w:hint="eastAsia" w:ascii="黑体" w:hAnsi="黑体" w:eastAsia="黑体" w:cs="黑体"/>
        <w:b/>
        <w:bCs/>
        <w:color w:val="1D4B1C"/>
        <w:lang w:eastAsia="zh-CN"/>
      </w:rPr>
      <w:t>会计“双精准”示范专业建设佐证材料</w:t>
    </w:r>
    <w:r>
      <w:rPr>
        <w:rFonts w:hint="eastAsia" w:ascii="方正小标宋简体" w:hAnsi="方正小标宋简体" w:eastAsia="方正小标宋简体" w:cs="方正小标宋简体"/>
        <w:color w:val="1D4B1C"/>
        <w:lang w:eastAsia="zh-CN"/>
      </w:rPr>
      <w:t xml:space="preserve"> </w:t>
    </w:r>
    <w:r>
      <w:rPr>
        <w:rFonts w:hint="eastAsia" w:ascii="方正小标宋简体" w:hAnsi="方正小标宋简体" w:eastAsia="方正小标宋简体" w:cs="方正小标宋简体"/>
        <w:lang w:eastAsia="zh-CN"/>
      </w:rPr>
      <w:t xml:space="preserve">  </w:t>
    </w:r>
    <w:r>
      <w:rPr>
        <w:rFonts w:hint="eastAsia" w:ascii="楷体_GB2312" w:eastAsia="楷体_GB2312"/>
        <w:lang w:eastAsia="zh-C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JjZGU1M2EzNzNiMzdiMmQ1NjgyYWVjNTg0ZWNmMWQifQ=="/>
  </w:docVars>
  <w:rsids>
    <w:rsidRoot w:val="00457F59"/>
    <w:rsid w:val="00457F59"/>
    <w:rsid w:val="006432FD"/>
    <w:rsid w:val="0070379E"/>
    <w:rsid w:val="00761B87"/>
    <w:rsid w:val="00826693"/>
    <w:rsid w:val="00891815"/>
    <w:rsid w:val="00985FE6"/>
    <w:rsid w:val="009955C9"/>
    <w:rsid w:val="00A53F9B"/>
    <w:rsid w:val="00B60713"/>
    <w:rsid w:val="00C9563C"/>
    <w:rsid w:val="00CC5D60"/>
    <w:rsid w:val="00DA77EE"/>
    <w:rsid w:val="00E10DF1"/>
    <w:rsid w:val="00F11478"/>
    <w:rsid w:val="00F30392"/>
    <w:rsid w:val="00F860BA"/>
    <w:rsid w:val="00FA6C37"/>
    <w:rsid w:val="05B11678"/>
    <w:rsid w:val="18E9476E"/>
    <w:rsid w:val="3FD95C77"/>
    <w:rsid w:val="43C6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Arial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923</Words>
  <Characters>1085</Characters>
  <Lines>8</Lines>
  <Paragraphs>2</Paragraphs>
  <TotalTime>6</TotalTime>
  <ScaleCrop>false</ScaleCrop>
  <LinksUpToDate>false</LinksUpToDate>
  <CharactersWithSpaces>1136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2023-11-15T18:21:00Z</dcterms:created>
  <dc:creator>ZP</dc:creator>
  <cp:lastModifiedBy>乐巴</cp:lastModifiedBy>
  <dcterms:modified xsi:type="dcterms:W3CDTF">2024-12-06T05:34:16Z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2024-11-12T15:50:01Z</vt:filetime>
  </property>
  <property fmtid="{D5CDD505-2E9C-101B-9397-08002B2CF9AE}" pid="4" name="KSOProductBuildVer">
    <vt:lpwstr>2052-12.1.0.18912</vt:lpwstr>
  </property>
  <property fmtid="{D5CDD505-2E9C-101B-9397-08002B2CF9AE}" pid="5" name="ICV">
    <vt:lpwstr>C9348114F8D2454899DA944A6CD49127_13</vt:lpwstr>
  </property>
</Properties>
</file>